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359"/>
        <w:gridCol w:w="783"/>
        <w:gridCol w:w="211"/>
        <w:gridCol w:w="282"/>
        <w:gridCol w:w="3827"/>
      </w:tblGrid>
      <w:tr w:rsidR="004F6667" w:rsidRPr="006F2A12" w:rsidTr="00E97F3B">
        <w:trPr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353" w:type="dxa"/>
            <w:gridSpan w:val="3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6F2A12" w:rsidTr="00E97F3B">
        <w:trPr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  <w:r w:rsidRPr="00D52A73">
              <w:rPr>
                <w:i/>
                <w:iCs/>
                <w:noProof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109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E97F3B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4F6667" w:rsidP="008357DC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E97F3B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E97F3B">
        <w:tblPrEx>
          <w:jc w:val="left"/>
        </w:tblPrEx>
        <w:trPr>
          <w:trHeight w:val="675"/>
        </w:trPr>
        <w:tc>
          <w:tcPr>
            <w:tcW w:w="4536" w:type="dxa"/>
            <w:gridSpan w:val="2"/>
            <w:shd w:val="clear" w:color="auto" w:fill="auto"/>
          </w:tcPr>
          <w:p w:rsidR="00F01E48" w:rsidRPr="00711DBF" w:rsidRDefault="00711DBF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11DBF">
              <w:rPr>
                <w:sz w:val="28"/>
                <w:szCs w:val="28"/>
                <w:lang w:val="uk-UA"/>
              </w:rPr>
              <w:t>14.12.2023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711DBF">
              <w:rPr>
                <w:sz w:val="28"/>
                <w:szCs w:val="28"/>
                <w:lang w:val="uk-UA"/>
              </w:rPr>
              <w:t>85</w:t>
            </w:r>
            <w:bookmarkStart w:id="0" w:name="_GoBack"/>
            <w:bookmarkEnd w:id="0"/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E97F3B">
        <w:tblPrEx>
          <w:jc w:val="left"/>
        </w:tblPrEx>
        <w:trPr>
          <w:trHeight w:val="754"/>
        </w:trPr>
        <w:tc>
          <w:tcPr>
            <w:tcW w:w="4536" w:type="dxa"/>
            <w:gridSpan w:val="2"/>
            <w:shd w:val="clear" w:color="auto" w:fill="auto"/>
          </w:tcPr>
          <w:p w:rsidR="00BB652A" w:rsidRPr="00C5700F" w:rsidRDefault="00BB652A" w:rsidP="00E97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Про </w:t>
            </w:r>
            <w:r w:rsidR="008357DC">
              <w:rPr>
                <w:sz w:val="28"/>
                <w:szCs w:val="28"/>
                <w:lang w:val="uk-UA"/>
              </w:rPr>
              <w:t>внесення змін до рішення Сумської міської ради від</w:t>
            </w:r>
            <w:r w:rsidR="00E97F3B">
              <w:rPr>
                <w:sz w:val="28"/>
                <w:szCs w:val="28"/>
                <w:lang w:val="uk-UA"/>
              </w:rPr>
              <w:t xml:space="preserve">                    2</w:t>
            </w:r>
            <w:r w:rsidR="008357DC">
              <w:rPr>
                <w:sz w:val="28"/>
                <w:szCs w:val="28"/>
                <w:lang w:val="uk-UA"/>
              </w:rPr>
              <w:t>4 березня 2021 року</w:t>
            </w:r>
            <w:r w:rsidRPr="00C5700F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357DC">
              <w:rPr>
                <w:iCs/>
                <w:sz w:val="28"/>
                <w:szCs w:val="28"/>
                <w:lang w:val="uk-UA"/>
              </w:rPr>
              <w:t xml:space="preserve">№ 791-МР </w:t>
            </w:r>
            <w:r w:rsidR="008357DC" w:rsidRPr="008357DC">
              <w:rPr>
                <w:iCs/>
                <w:sz w:val="28"/>
                <w:szCs w:val="28"/>
                <w:lang w:val="uk-UA"/>
              </w:rPr>
              <w:t>«Про Порядок надання пільгового проїзду у міському комунальному транспорті (електричному транспорті та на автобусних маршрутах загального користування) учням 1-11 класів, які навчаються у закладах загальної середньої освіти Сумської міської територіальної громади та компенсаційні виплати за пільговий проїзд» (зі змінами)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E97F3B">
        <w:tblPrEx>
          <w:jc w:val="left"/>
        </w:tblPrEx>
        <w:trPr>
          <w:gridAfter w:val="3"/>
          <w:wAfter w:w="4320" w:type="dxa"/>
          <w:trHeight w:val="20"/>
        </w:trPr>
        <w:tc>
          <w:tcPr>
            <w:tcW w:w="5319" w:type="dxa"/>
            <w:gridSpan w:val="3"/>
            <w:shd w:val="clear" w:color="auto" w:fill="auto"/>
          </w:tcPr>
          <w:p w:rsidR="004F6667" w:rsidRPr="00C5700F" w:rsidRDefault="004F6667" w:rsidP="00C9444F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 w:firstLine="604"/>
              <w:rPr>
                <w:sz w:val="28"/>
                <w:szCs w:val="28"/>
                <w:lang w:val="uk-UA"/>
              </w:rPr>
            </w:pPr>
          </w:p>
        </w:tc>
      </w:tr>
      <w:tr w:rsidR="00F82F15" w:rsidRPr="005B5E31" w:rsidTr="00E97F3B">
        <w:tblPrEx>
          <w:jc w:val="left"/>
        </w:tblPrEx>
        <w:trPr>
          <w:trHeight w:val="2636"/>
        </w:trPr>
        <w:tc>
          <w:tcPr>
            <w:tcW w:w="9639" w:type="dxa"/>
            <w:gridSpan w:val="6"/>
            <w:shd w:val="clear" w:color="auto" w:fill="auto"/>
          </w:tcPr>
          <w:p w:rsidR="00F82F15" w:rsidRPr="005B5E31" w:rsidRDefault="008357DC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B5E31">
              <w:rPr>
                <w:color w:val="000000" w:themeColor="text1"/>
                <w:sz w:val="28"/>
                <w:lang w:val="uk-UA"/>
              </w:rPr>
              <w:t>З метою соціал</w:t>
            </w:r>
            <w:r w:rsidR="00734771" w:rsidRPr="005B5E31">
              <w:rPr>
                <w:color w:val="000000" w:themeColor="text1"/>
                <w:sz w:val="28"/>
                <w:lang w:val="uk-UA"/>
              </w:rPr>
              <w:t>ьної підтримки учнів 1-11 класів</w:t>
            </w:r>
            <w:r w:rsidRPr="005B5E31">
              <w:rPr>
                <w:color w:val="000000" w:themeColor="text1"/>
                <w:sz w:val="28"/>
                <w:lang w:val="uk-UA"/>
              </w:rPr>
              <w:t xml:space="preserve">, які </w:t>
            </w:r>
            <w:r w:rsidR="00BB5E68" w:rsidRPr="005B5E31">
              <w:rPr>
                <w:color w:val="000000" w:themeColor="text1"/>
                <w:sz w:val="28"/>
                <w:lang w:val="uk-UA"/>
              </w:rPr>
              <w:t xml:space="preserve">навчаються у закладах загальної середньої освіти інших територіальних громад та </w:t>
            </w:r>
            <w:r w:rsidR="00734771" w:rsidRPr="005B5E31">
              <w:rPr>
                <w:color w:val="000000" w:themeColor="text1"/>
                <w:sz w:val="28"/>
                <w:lang w:val="uk-UA"/>
              </w:rPr>
              <w:t>мають довідку про взяття на облік внутрішньо переміщеної особи, видану Департаментом соціального захисту населення Сумської міської ради,</w:t>
            </w:r>
            <w:r w:rsidRPr="005B5E31">
              <w:rPr>
                <w:color w:val="000000" w:themeColor="text1"/>
                <w:sz w:val="28"/>
                <w:lang w:val="uk-UA"/>
              </w:rPr>
              <w:t xml:space="preserve"> враховуючи частину другу статті 56 Закону України «Про освіту», зважаючи на введений в Україні правовий режим воєнного стану,</w:t>
            </w:r>
            <w:r w:rsidRPr="005B5E31">
              <w:rPr>
                <w:color w:val="000000" w:themeColor="text1"/>
                <w:sz w:val="28"/>
                <w:szCs w:val="28"/>
                <w:lang w:val="uk-UA"/>
              </w:rPr>
              <w:t xml:space="preserve"> відповідно до </w:t>
            </w:r>
            <w:r w:rsidRPr="005B5E3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Указу Президента України   від 24 лютого 2022 року № 64/2022 «Про введення воєнного стану в Україні» (зі змінами) (далі – Указ Президента України), </w:t>
            </w:r>
            <w:r w:rsidRPr="005B5E31">
              <w:rPr>
                <w:color w:val="000000" w:themeColor="text1"/>
                <w:sz w:val="28"/>
                <w:lang w:val="uk-UA"/>
              </w:rPr>
              <w:t>керуючись</w:t>
            </w:r>
            <w:r w:rsidR="00C9444F" w:rsidRPr="005B5E31">
              <w:rPr>
                <w:color w:val="000000" w:themeColor="text1"/>
                <w:sz w:val="28"/>
                <w:lang w:val="uk-UA"/>
              </w:rPr>
              <w:t xml:space="preserve"> </w:t>
            </w:r>
            <w:r w:rsidR="00104BDE" w:rsidRPr="005B5E31">
              <w:rPr>
                <w:color w:val="000000" w:themeColor="text1"/>
                <w:sz w:val="28"/>
                <w:lang w:val="uk-UA"/>
              </w:rPr>
              <w:t xml:space="preserve">пунктом 10 частини 2 та </w:t>
            </w:r>
            <w:r w:rsidR="00C9444F" w:rsidRPr="005B5E31">
              <w:rPr>
                <w:color w:val="000000" w:themeColor="text1"/>
                <w:sz w:val="28"/>
                <w:lang w:val="uk-UA"/>
              </w:rPr>
              <w:t>пунктом 8 частини 6 статті 15 Закону України «Про правовий режим воєнного стану»</w:t>
            </w:r>
            <w:r w:rsidR="00F82F15" w:rsidRPr="005B5E31">
              <w:rPr>
                <w:color w:val="000000" w:themeColor="text1"/>
                <w:sz w:val="40"/>
                <w:szCs w:val="28"/>
                <w:lang w:val="uk-UA"/>
              </w:rPr>
              <w:t xml:space="preserve">  </w:t>
            </w:r>
          </w:p>
          <w:p w:rsidR="00F82F15" w:rsidRPr="005B5E31" w:rsidRDefault="00F82F15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82F15" w:rsidRPr="005B5E31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5B5E31">
              <w:rPr>
                <w:bCs/>
                <w:color w:val="000000" w:themeColor="text1"/>
                <w:sz w:val="28"/>
                <w:szCs w:val="28"/>
                <w:lang w:val="uk-UA"/>
              </w:rPr>
              <w:t>НАКАЗУЮ:</w:t>
            </w:r>
          </w:p>
          <w:p w:rsidR="00C9444F" w:rsidRPr="005B5E31" w:rsidRDefault="00C944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97F3B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  <w:r w:rsidR="00F82F15" w:rsidRPr="005B5E31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  <w:proofErr w:type="spellStart"/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Внести</w:t>
            </w:r>
            <w:proofErr w:type="spellEnd"/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зміни до назви рішення Сумської міської ради від 24 березня 2021 року № 791-МР «Про Порядок надання пільгового проїзду у міському комунальному транспорті (електричному транспорті та на автобусних маршрутах </w:t>
            </w:r>
            <w:r w:rsidR="00E97F3B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загального </w:t>
            </w:r>
            <w:r w:rsidR="00E97F3B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користування) </w:t>
            </w:r>
            <w:r w:rsidR="00E97F3B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учням </w:t>
            </w:r>
            <w:r w:rsidR="00E97F3B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1-11 </w:t>
            </w:r>
            <w:r w:rsidR="00E97F3B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класів, </w:t>
            </w:r>
            <w:r w:rsidR="00E97F3B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які </w:t>
            </w:r>
            <w:r w:rsidR="00E97F3B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н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авчаються </w:t>
            </w:r>
            <w:r w:rsidR="00E97F3B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у</w:t>
            </w:r>
          </w:p>
          <w:p w:rsidR="00104BDE" w:rsidRPr="005B5E31" w:rsidRDefault="00104BDE" w:rsidP="00E97F3B">
            <w:pPr>
              <w:tabs>
                <w:tab w:val="left" w:pos="888"/>
              </w:tabs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lastRenderedPageBreak/>
              <w:t xml:space="preserve">закладах загальної середньої освіти Сумської міської територіальної громади та компенсаційні виплати за пільговий проїзд» (далі – Рішення), виклавши назву Рішення у </w:t>
            </w:r>
            <w:r w:rsidR="00A5599C"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новій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редакції: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«Про Порядок надання пільгового проїзду у міському комунальному транспорті (електричному транспорті та на автобусних маршрутах загального користування) учням 1-11 класів, які навчаються в закладах загальної середньої освіти, та компенсаційних виплат за пільговий проїзд».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104BDE" w:rsidRPr="005B5E31" w:rsidRDefault="00BD3278" w:rsidP="00EE3DE8">
            <w:pPr>
              <w:pStyle w:val="a8"/>
              <w:numPr>
                <w:ilvl w:val="0"/>
                <w:numId w:val="8"/>
              </w:numPr>
              <w:tabs>
                <w:tab w:val="left" w:pos="888"/>
              </w:tabs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Викласти пункт</w:t>
            </w:r>
            <w:r w:rsidR="00104BDE"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1 Рішення в новій редакції: 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«1. Установити пільговий проїзд (пільга 100%) у міському комунальному транспорті (електричному транспорті та на автобусних маршрутах загального користування), що надається комунальним підприємством Сумської міської ради «Електроавтотранс»: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– учням 1-11 класів, які навчаються у закладах загальної середньої освіти Сумської міської територіальної громади;</w:t>
            </w:r>
          </w:p>
          <w:p w:rsidR="00104BDE" w:rsidRPr="005B5E31" w:rsidRDefault="00104BDE" w:rsidP="00104BDE">
            <w:pPr>
              <w:numPr>
                <w:ilvl w:val="0"/>
                <w:numId w:val="4"/>
              </w:numPr>
              <w:tabs>
                <w:tab w:val="left" w:pos="888"/>
              </w:tabs>
              <w:ind w:left="0"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учням 1-11 класів</w:t>
            </w:r>
            <w:r w:rsidR="00734771" w:rsidRPr="005B5E31">
              <w:rPr>
                <w:color w:val="000000" w:themeColor="text1"/>
                <w:sz w:val="28"/>
                <w:lang w:val="uk-UA"/>
              </w:rPr>
              <w:t xml:space="preserve">, </w:t>
            </w:r>
            <w:r w:rsidR="007A515A" w:rsidRPr="005B5E31">
              <w:rPr>
                <w:color w:val="000000" w:themeColor="text1"/>
                <w:sz w:val="28"/>
                <w:lang w:val="uk-UA"/>
              </w:rPr>
              <w:t>які навчаються у закладах загальної середньої освіти інших територіальних громад та мають довідку про взяття на облік внутрішньо переміщеної особи, видану Департаментом соціального захисту населення Сумської міської ради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».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104BDE" w:rsidRPr="005B5E31" w:rsidRDefault="00104BDE" w:rsidP="00EE3DE8">
            <w:pPr>
              <w:pStyle w:val="a8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proofErr w:type="spellStart"/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Внести</w:t>
            </w:r>
            <w:proofErr w:type="spellEnd"/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зміни в додаток до Рішення «Порядок надання пільгового проїзду у міському комунальному транспорті (електричному транспорті та на автобусних маршрутах загального користування) учням 1-11 класів, які навчаються у закладах загальної середньої освіти Сумської міської територіальної громади, та компенсаційні виплати за пільговий проїзд» (далі – Порядок), а саме:</w:t>
            </w:r>
          </w:p>
          <w:p w:rsidR="00104BDE" w:rsidRPr="005B5E31" w:rsidRDefault="00104BDE" w:rsidP="00104BDE">
            <w:pPr>
              <w:numPr>
                <w:ilvl w:val="1"/>
                <w:numId w:val="6"/>
              </w:numPr>
              <w:tabs>
                <w:tab w:val="left" w:pos="888"/>
                <w:tab w:val="left" w:pos="1171"/>
              </w:tabs>
              <w:ind w:left="0"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Викласти назву Порядку у новій редакції: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«Порядок надання пільгового проїзду у міському комунальному транспорті (електричному транспорті та на автобусних маршрутах загального користування) учням 1-11 класів, які навчаються в закладах загальної середньої освіти, та компенсаційних виплат за пільговий проїзд».</w:t>
            </w:r>
          </w:p>
          <w:p w:rsidR="00104BDE" w:rsidRPr="005B5E31" w:rsidRDefault="00104BDE" w:rsidP="00104BDE">
            <w:pPr>
              <w:numPr>
                <w:ilvl w:val="1"/>
                <w:numId w:val="5"/>
              </w:numPr>
              <w:tabs>
                <w:tab w:val="left" w:pos="888"/>
                <w:tab w:val="left" w:pos="1171"/>
              </w:tabs>
              <w:ind w:left="0"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Викласти преамбулу Порядку в новій редакції: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«Цей порядок розроблено на виконання завдань підпрограми 9 Комплексної програми Сумської міської територіальної громади «Освіта на 2022-2024 роки», затвердженої рішенням Сумської міської ради від</w:t>
            </w:r>
            <w:r w:rsidR="00A5599C"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                            2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4 листопада 2021 року № 2512-МР (зі змінами), </w:t>
            </w: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з урахуванням частини другої статті 56 Закону України «Про освіту» та визначає механізм надання пільгового проїзду у міському комунальному транспорті (електричному транспорті та на автобусних маршрутах загального користування), що надається комунальним підприємством Сумської міської ради «Електроавтотранс» учням 1-11 класів, які навчаються у закладах загальної середньої освіти, та 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компенсаційних виплат за пільговий проїзд</w:t>
            </w: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(далі – Порядок).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Пільговий проїзд учнів 1-11 класів та 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компенсаційні виплати за пільговий проїзд</w:t>
            </w: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здійснюються відповідно до договорів про пільгове перевезення у міському комунальному транспорті (електричному транспорті та на </w:t>
            </w: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автобусних маршрутах загального користування) учнів  1-11 класів, які навчаються у закладах загальної середньої освіти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. Вказані договори</w:t>
            </w: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укладаються між Виконавчим комітетом Сумської міської ради у якості Розпорядника коштів та комунальним підприємством Сумської міської ради «Електроавтотранс» у якості Перевізника».</w:t>
            </w:r>
          </w:p>
          <w:p w:rsidR="00104BDE" w:rsidRPr="005B5E31" w:rsidRDefault="00104BDE" w:rsidP="00104BDE">
            <w:pPr>
              <w:numPr>
                <w:ilvl w:val="1"/>
                <w:numId w:val="5"/>
              </w:numPr>
              <w:tabs>
                <w:tab w:val="left" w:pos="1029"/>
              </w:tabs>
              <w:ind w:left="0"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Викласти пункт 1 Порядку в новій редакції: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«1. Порядок надання пільгового проїзду у міському комунальному транспорті (електричному транспорті та на автобусних маршрутах загального користування) </w:t>
            </w: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учням 1-11 класів, які навчаються у закладах загальної середньої освіти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».</w:t>
            </w:r>
          </w:p>
          <w:p w:rsidR="00104BDE" w:rsidRPr="005B5E31" w:rsidRDefault="00104BDE" w:rsidP="00104BDE">
            <w:pPr>
              <w:numPr>
                <w:ilvl w:val="1"/>
                <w:numId w:val="5"/>
              </w:numPr>
              <w:tabs>
                <w:tab w:val="left" w:pos="888"/>
                <w:tab w:val="left" w:pos="1029"/>
              </w:tabs>
              <w:ind w:left="0"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Викласти пункт 1.1 Порядку в новій редакції: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«1.1. </w:t>
            </w: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Право на пільговий проїзд у міському комунальному транспорті (електричному транспорті та на автобусних маршрутах загального користування) мають: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– учні 1-11 класів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, які навчаються у закладах загальної середньої освіти Сумської міської територіальної громади</w:t>
            </w: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04BDE" w:rsidRPr="005B5E31" w:rsidRDefault="00104BDE" w:rsidP="00104BDE">
            <w:pPr>
              <w:numPr>
                <w:ilvl w:val="0"/>
                <w:numId w:val="3"/>
              </w:numPr>
              <w:tabs>
                <w:tab w:val="left" w:pos="888"/>
              </w:tabs>
              <w:ind w:left="0" w:firstLine="604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учні 1-11 класів</w:t>
            </w:r>
            <w:r w:rsidR="00734771" w:rsidRPr="005B5E31">
              <w:rPr>
                <w:color w:val="000000" w:themeColor="text1"/>
                <w:sz w:val="28"/>
                <w:lang w:val="uk-UA"/>
              </w:rPr>
              <w:t xml:space="preserve">, </w:t>
            </w:r>
            <w:r w:rsidR="007A515A" w:rsidRPr="005B5E31">
              <w:rPr>
                <w:color w:val="000000" w:themeColor="text1"/>
                <w:sz w:val="28"/>
                <w:lang w:val="uk-UA"/>
              </w:rPr>
              <w:t>які навчаються у закладах загальної середньої освіти інших територіальних громад та мають довідку про взяття на облік внутрішньо переміщеної особи, видану Департаментом соціального захисту населення Сумської міської ради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».</w:t>
            </w:r>
          </w:p>
          <w:p w:rsidR="00104BDE" w:rsidRPr="005B5E31" w:rsidRDefault="00104BDE" w:rsidP="00104BDE">
            <w:pPr>
              <w:numPr>
                <w:ilvl w:val="1"/>
                <w:numId w:val="5"/>
              </w:numPr>
              <w:tabs>
                <w:tab w:val="left" w:pos="888"/>
                <w:tab w:val="left" w:pos="1029"/>
              </w:tabs>
              <w:ind w:left="0"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Викласти пункт 1.3 Порядку в новій редакції: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«1.3. Пільговий проїзд забезпечується за умови пред’явлення документу, що підтверджує право на пільгу: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– для учнів 1-11 класів, які навчаються у закладах загальної середньої освіти Сумської міської територіальної громади, – учнівського квитка, виданого закладом загальної середньої освіти Сумської міської територіальної громади;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– для учнів 1-11 класів</w:t>
            </w:r>
            <w:r w:rsidR="00734771"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,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 </w:t>
            </w:r>
            <w:r w:rsidR="007A515A" w:rsidRPr="005B5E31">
              <w:rPr>
                <w:color w:val="000000" w:themeColor="text1"/>
                <w:sz w:val="28"/>
                <w:lang w:val="uk-UA"/>
              </w:rPr>
              <w:t>які навчаються у закладах загальної середньої освіти інших територіальних громад та мають довідку про взяття на облік внутрішньо переміщеної особи, видану Департаментом соціального захисту населення Сумської міської ради</w:t>
            </w: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>, – довідки про взяття на облік внутрішньо переміщеної особи та учнівського квитка або довідки з місця навчання».</w:t>
            </w:r>
          </w:p>
          <w:p w:rsidR="00104BDE" w:rsidRPr="005B5E31" w:rsidRDefault="00104BDE" w:rsidP="00104BDE">
            <w:pPr>
              <w:numPr>
                <w:ilvl w:val="1"/>
                <w:numId w:val="5"/>
              </w:numPr>
              <w:tabs>
                <w:tab w:val="left" w:pos="888"/>
              </w:tabs>
              <w:ind w:left="0" w:firstLine="604"/>
              <w:jc w:val="both"/>
              <w:rPr>
                <w:rFonts w:eastAsia="Times New Roman"/>
                <w:color w:val="000000" w:themeColor="text1"/>
                <w:sz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lang w:val="uk-UA"/>
              </w:rPr>
              <w:t xml:space="preserve">У пунктах 2, 2.1 та 2.2 Порядку зі слів «учнів 1-11 класів, які навчаються у закладах загальної середньої освіти Сумської міської територіальної громади» виключити слова «Сумської міської територіальної громади». </w:t>
            </w:r>
          </w:p>
          <w:p w:rsidR="00104BDE" w:rsidRPr="005B5E31" w:rsidRDefault="00104BDE" w:rsidP="00104BDE">
            <w:pPr>
              <w:tabs>
                <w:tab w:val="left" w:pos="888"/>
              </w:tabs>
              <w:ind w:firstLine="60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F116E6" w:rsidRPr="005B5E31" w:rsidRDefault="00104BDE" w:rsidP="00F116E6">
            <w:pPr>
              <w:tabs>
                <w:tab w:val="left" w:pos="709"/>
              </w:tabs>
              <w:ind w:firstLine="709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4. </w:t>
            </w:r>
            <w:r w:rsidR="00F116E6"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Контроль за виконанням </w:t>
            </w:r>
            <w:r w:rsidR="002E1617"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даного </w:t>
            </w:r>
            <w:r w:rsidR="00F116E6" w:rsidRPr="005B5E3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наказу покласти на заступника міського голови згідно з розподілом обов’язків.  </w:t>
            </w:r>
          </w:p>
          <w:p w:rsidR="00F82F15" w:rsidRPr="005B5E31" w:rsidRDefault="00F82F15" w:rsidP="00D847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6667" w:rsidRPr="005B5E31" w:rsidRDefault="004F6667" w:rsidP="004F6667">
      <w:pPr>
        <w:pStyle w:val="a3"/>
        <w:jc w:val="both"/>
        <w:outlineLvl w:val="0"/>
        <w:rPr>
          <w:b/>
          <w:color w:val="000000" w:themeColor="text1"/>
          <w:szCs w:val="28"/>
        </w:rPr>
      </w:pPr>
    </w:p>
    <w:p w:rsidR="004F6667" w:rsidRPr="005B5E31" w:rsidRDefault="004F6667" w:rsidP="004F6667">
      <w:pPr>
        <w:pStyle w:val="a3"/>
        <w:jc w:val="both"/>
        <w:outlineLvl w:val="0"/>
        <w:rPr>
          <w:b/>
          <w:color w:val="000000" w:themeColor="text1"/>
          <w:szCs w:val="28"/>
        </w:rPr>
      </w:pPr>
    </w:p>
    <w:p w:rsidR="004F6667" w:rsidRPr="00646E88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A16E72" w:rsidRPr="00646E88" w:rsidRDefault="004F6667" w:rsidP="00711DBF">
      <w:pPr>
        <w:pStyle w:val="a3"/>
        <w:jc w:val="both"/>
        <w:outlineLvl w:val="0"/>
        <w:rPr>
          <w:szCs w:val="28"/>
        </w:rPr>
      </w:pPr>
      <w:r w:rsidRPr="00646E88">
        <w:rPr>
          <w:szCs w:val="28"/>
        </w:rPr>
        <w:t>Начальник</w:t>
      </w:r>
      <w:r w:rsidR="00E90F01" w:rsidRPr="00646E88">
        <w:rPr>
          <w:szCs w:val="28"/>
        </w:rPr>
        <w:t xml:space="preserve"> </w:t>
      </w:r>
      <w:r w:rsidR="00E90F01" w:rsidRPr="00646E88">
        <w:rPr>
          <w:szCs w:val="28"/>
        </w:rPr>
        <w:tab/>
      </w:r>
      <w:r w:rsidR="00E90F01" w:rsidRPr="00646E88">
        <w:rPr>
          <w:szCs w:val="28"/>
        </w:rPr>
        <w:tab/>
      </w:r>
      <w:r w:rsidR="00E90F01" w:rsidRPr="00646E88">
        <w:rPr>
          <w:szCs w:val="28"/>
        </w:rPr>
        <w:tab/>
      </w:r>
      <w:r w:rsidRPr="00646E88">
        <w:rPr>
          <w:szCs w:val="28"/>
        </w:rPr>
        <w:tab/>
      </w:r>
      <w:r w:rsidRPr="00646E88">
        <w:rPr>
          <w:szCs w:val="28"/>
        </w:rPr>
        <w:tab/>
      </w:r>
      <w:r w:rsidRPr="00646E88">
        <w:rPr>
          <w:szCs w:val="28"/>
        </w:rPr>
        <w:tab/>
      </w:r>
      <w:r w:rsidRPr="00646E88">
        <w:rPr>
          <w:szCs w:val="28"/>
        </w:rPr>
        <w:tab/>
      </w:r>
      <w:r w:rsidRPr="00646E88">
        <w:rPr>
          <w:szCs w:val="28"/>
        </w:rPr>
        <w:tab/>
        <w:t>Олексій ДРОЗДЕНКО</w:t>
      </w:r>
    </w:p>
    <w:sectPr w:rsidR="00A16E72" w:rsidRPr="00646E88" w:rsidSect="00F0360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B40"/>
    <w:multiLevelType w:val="multilevel"/>
    <w:tmpl w:val="78D287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C7F0E71"/>
    <w:multiLevelType w:val="multilevel"/>
    <w:tmpl w:val="D4E03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85B54A4"/>
    <w:multiLevelType w:val="hybridMultilevel"/>
    <w:tmpl w:val="25BE4B64"/>
    <w:lvl w:ilvl="0" w:tplc="055260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B71"/>
    <w:multiLevelType w:val="hybridMultilevel"/>
    <w:tmpl w:val="AB5C9A04"/>
    <w:lvl w:ilvl="0" w:tplc="56487F3C">
      <w:start w:val="2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 w15:restartNumberingAfterBreak="0">
    <w:nsid w:val="626620FE"/>
    <w:multiLevelType w:val="hybridMultilevel"/>
    <w:tmpl w:val="FBDA75AC"/>
    <w:lvl w:ilvl="0" w:tplc="2F0C66B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BF4B77"/>
    <w:multiLevelType w:val="multilevel"/>
    <w:tmpl w:val="BB3699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341C98"/>
    <w:multiLevelType w:val="hybridMultilevel"/>
    <w:tmpl w:val="9984D83A"/>
    <w:lvl w:ilvl="0" w:tplc="5F0EFE7C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05060"/>
    <w:rsid w:val="00063A2A"/>
    <w:rsid w:val="00093176"/>
    <w:rsid w:val="000961E3"/>
    <w:rsid w:val="000B4076"/>
    <w:rsid w:val="00104AFF"/>
    <w:rsid w:val="00104BDE"/>
    <w:rsid w:val="00111BEA"/>
    <w:rsid w:val="00116CCE"/>
    <w:rsid w:val="0012476D"/>
    <w:rsid w:val="00125260"/>
    <w:rsid w:val="00193D06"/>
    <w:rsid w:val="001C5063"/>
    <w:rsid w:val="001C71CF"/>
    <w:rsid w:val="001D3A63"/>
    <w:rsid w:val="00211569"/>
    <w:rsid w:val="00272978"/>
    <w:rsid w:val="002A09F0"/>
    <w:rsid w:val="002E1617"/>
    <w:rsid w:val="00302926"/>
    <w:rsid w:val="003069CC"/>
    <w:rsid w:val="003718D1"/>
    <w:rsid w:val="0038436D"/>
    <w:rsid w:val="003A32CF"/>
    <w:rsid w:val="003C7B63"/>
    <w:rsid w:val="003E3E60"/>
    <w:rsid w:val="003E4FAC"/>
    <w:rsid w:val="003E5ECC"/>
    <w:rsid w:val="00406B9D"/>
    <w:rsid w:val="004720B8"/>
    <w:rsid w:val="004B099F"/>
    <w:rsid w:val="004F6667"/>
    <w:rsid w:val="0050472A"/>
    <w:rsid w:val="00554725"/>
    <w:rsid w:val="00556BC0"/>
    <w:rsid w:val="00557D0E"/>
    <w:rsid w:val="005613D4"/>
    <w:rsid w:val="00593940"/>
    <w:rsid w:val="005B5E31"/>
    <w:rsid w:val="005B65D7"/>
    <w:rsid w:val="005F077C"/>
    <w:rsid w:val="006361A9"/>
    <w:rsid w:val="00646E88"/>
    <w:rsid w:val="00651F37"/>
    <w:rsid w:val="00663688"/>
    <w:rsid w:val="00663BB7"/>
    <w:rsid w:val="00680189"/>
    <w:rsid w:val="006821F9"/>
    <w:rsid w:val="00697098"/>
    <w:rsid w:val="006A01A3"/>
    <w:rsid w:val="006A2D52"/>
    <w:rsid w:val="006C14AA"/>
    <w:rsid w:val="006F2A12"/>
    <w:rsid w:val="006F511F"/>
    <w:rsid w:val="00711DBF"/>
    <w:rsid w:val="00723765"/>
    <w:rsid w:val="00723FF7"/>
    <w:rsid w:val="007339D9"/>
    <w:rsid w:val="00734771"/>
    <w:rsid w:val="007562CE"/>
    <w:rsid w:val="00772BBE"/>
    <w:rsid w:val="00781C31"/>
    <w:rsid w:val="007A515A"/>
    <w:rsid w:val="007D59A1"/>
    <w:rsid w:val="007F4DC0"/>
    <w:rsid w:val="007F4E96"/>
    <w:rsid w:val="008357DC"/>
    <w:rsid w:val="00845110"/>
    <w:rsid w:val="00884663"/>
    <w:rsid w:val="00884D47"/>
    <w:rsid w:val="008D60BC"/>
    <w:rsid w:val="008E5088"/>
    <w:rsid w:val="0090340B"/>
    <w:rsid w:val="009211A1"/>
    <w:rsid w:val="0092367A"/>
    <w:rsid w:val="009A10E4"/>
    <w:rsid w:val="009E33AF"/>
    <w:rsid w:val="009F55D7"/>
    <w:rsid w:val="00A13682"/>
    <w:rsid w:val="00A16E72"/>
    <w:rsid w:val="00A37151"/>
    <w:rsid w:val="00A44F94"/>
    <w:rsid w:val="00A5599C"/>
    <w:rsid w:val="00AA1E01"/>
    <w:rsid w:val="00AA6355"/>
    <w:rsid w:val="00AD3A78"/>
    <w:rsid w:val="00B45076"/>
    <w:rsid w:val="00B47A60"/>
    <w:rsid w:val="00B67C66"/>
    <w:rsid w:val="00BB5E68"/>
    <w:rsid w:val="00BB652A"/>
    <w:rsid w:val="00BD3278"/>
    <w:rsid w:val="00BE2716"/>
    <w:rsid w:val="00C01E53"/>
    <w:rsid w:val="00C50BAC"/>
    <w:rsid w:val="00C9444F"/>
    <w:rsid w:val="00CA5A61"/>
    <w:rsid w:val="00CB2F8D"/>
    <w:rsid w:val="00CE007A"/>
    <w:rsid w:val="00CE3675"/>
    <w:rsid w:val="00D04E06"/>
    <w:rsid w:val="00D2770E"/>
    <w:rsid w:val="00D37271"/>
    <w:rsid w:val="00D42B5C"/>
    <w:rsid w:val="00D52A73"/>
    <w:rsid w:val="00DA7B0C"/>
    <w:rsid w:val="00DB14B1"/>
    <w:rsid w:val="00DF5B3D"/>
    <w:rsid w:val="00E6769C"/>
    <w:rsid w:val="00E74474"/>
    <w:rsid w:val="00E8613F"/>
    <w:rsid w:val="00E90F01"/>
    <w:rsid w:val="00E97F3B"/>
    <w:rsid w:val="00EB256B"/>
    <w:rsid w:val="00EB6BF2"/>
    <w:rsid w:val="00EC7ACF"/>
    <w:rsid w:val="00EE3DE8"/>
    <w:rsid w:val="00F01E48"/>
    <w:rsid w:val="00F03600"/>
    <w:rsid w:val="00F116E6"/>
    <w:rsid w:val="00F20C9B"/>
    <w:rsid w:val="00F82F15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BFBA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80189"/>
    <w:rPr>
      <w:b/>
      <w:bCs/>
    </w:rPr>
  </w:style>
  <w:style w:type="table" w:styleId="a7">
    <w:name w:val="Table Grid"/>
    <w:basedOn w:val="a1"/>
    <w:uiPriority w:val="39"/>
    <w:rsid w:val="00D42B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F511F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6F511F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4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Шевцова Світлана Василівна</cp:lastModifiedBy>
  <cp:revision>37</cp:revision>
  <cp:lastPrinted>2023-12-13T12:02:00Z</cp:lastPrinted>
  <dcterms:created xsi:type="dcterms:W3CDTF">2023-12-04T06:37:00Z</dcterms:created>
  <dcterms:modified xsi:type="dcterms:W3CDTF">2023-12-14T07:15:00Z</dcterms:modified>
</cp:coreProperties>
</file>