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6B7261" w:rsidRPr="00B1451A" w:rsidTr="00986D43">
        <w:tc>
          <w:tcPr>
            <w:tcW w:w="4253" w:type="dxa"/>
          </w:tcPr>
          <w:p w:rsidR="006B7261" w:rsidRPr="00B1451A" w:rsidRDefault="006B7261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7261" w:rsidRPr="00B1451A" w:rsidRDefault="006B7261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7.1pt" o:ole="">
                  <v:imagedata r:id="rId4" o:title=""/>
                </v:shape>
                <o:OLEObject Type="Embed" ProgID="ShapewareVISIO20" ShapeID="_x0000_i1025" DrawAspect="Content" ObjectID="_1556182924" r:id="rId5"/>
              </w:object>
            </w:r>
          </w:p>
        </w:tc>
        <w:tc>
          <w:tcPr>
            <w:tcW w:w="4253" w:type="dxa"/>
          </w:tcPr>
          <w:p w:rsidR="006B7261" w:rsidRDefault="006B7261" w:rsidP="00986D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Проект оприлюднено</w:t>
            </w:r>
          </w:p>
          <w:p w:rsidR="006B7261" w:rsidRDefault="006B7261" w:rsidP="00986D43">
            <w:pPr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«__»_________ 2017 р.           </w:t>
            </w:r>
          </w:p>
          <w:p w:rsidR="006B7261" w:rsidRPr="00D06998" w:rsidRDefault="006B7261" w:rsidP="00986D43">
            <w:pPr>
              <w:tabs>
                <w:tab w:val="left" w:pos="1350"/>
              </w:tabs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4253" w:type="dxa"/>
          </w:tcPr>
          <w:p w:rsidR="006B7261" w:rsidRPr="00B1451A" w:rsidRDefault="006B7261" w:rsidP="00986D43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6B7261" w:rsidP="006B7261">
      <w:pPr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  <w:r w:rsidRPr="00FF71BF">
        <w:rPr>
          <w:szCs w:val="28"/>
          <w:lang w:val="ru-RU"/>
        </w:rPr>
        <w:t xml:space="preserve">   </w:t>
      </w:r>
      <w:r>
        <w:rPr>
          <w:szCs w:val="28"/>
        </w:rPr>
        <w:t xml:space="preserve"> ______</w:t>
      </w:r>
      <w:r w:rsidRPr="00B1451A">
        <w:rPr>
          <w:szCs w:val="28"/>
        </w:rPr>
        <w:t>СКЛИКАННЯ</w:t>
      </w:r>
      <w:r>
        <w:rPr>
          <w:szCs w:val="28"/>
        </w:rPr>
        <w:t xml:space="preserve"> _______ </w:t>
      </w:r>
      <w:r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6B7261" w:rsidP="006B7261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Pr="00237421">
        <w:rPr>
          <w:noProof w:val="0"/>
          <w:szCs w:val="28"/>
        </w:rPr>
        <w:t xml:space="preserve"> </w:t>
      </w:r>
      <w:r>
        <w:rPr>
          <w:noProof w:val="0"/>
          <w:szCs w:val="28"/>
        </w:rPr>
        <w:t>_________</w:t>
      </w:r>
      <w:r w:rsidRPr="00237421">
        <w:rPr>
          <w:noProof w:val="0"/>
          <w:szCs w:val="28"/>
        </w:rPr>
        <w:t>201</w:t>
      </w:r>
      <w:r>
        <w:rPr>
          <w:noProof w:val="0"/>
          <w:szCs w:val="28"/>
        </w:rPr>
        <w:t>7 р № _______-МР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6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0"/>
      </w:tblGrid>
      <w:tr w:rsidR="006B7261" w:rsidRPr="00237421" w:rsidTr="00FF71BF">
        <w:trPr>
          <w:trHeight w:val="1426"/>
          <w:tblCellSpacing w:w="15" w:type="dxa"/>
        </w:trPr>
        <w:tc>
          <w:tcPr>
            <w:tcW w:w="0" w:type="auto"/>
            <w:vAlign w:val="center"/>
          </w:tcPr>
          <w:p w:rsidR="006B7261" w:rsidRPr="00FF71BF" w:rsidRDefault="00FF71BF" w:rsidP="006B7261">
            <w:pPr>
              <w:jc w:val="both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      </w:r>
            <w:r w:rsidRPr="00FF71BF">
              <w:rPr>
                <w:iCs/>
                <w:noProof w:val="0"/>
              </w:rPr>
              <w:t>’</w:t>
            </w:r>
            <w:r>
              <w:rPr>
                <w:iCs/>
                <w:noProof w:val="0"/>
              </w:rPr>
              <w:t>єктів, що здійснюється за рахунок коштів міського бюджету м. Суми</w:t>
            </w:r>
          </w:p>
          <w:p w:rsidR="00FF71BF" w:rsidRPr="006B7261" w:rsidRDefault="00FF71BF" w:rsidP="006B7261">
            <w:pPr>
              <w:jc w:val="both"/>
            </w:pP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6B7261" w:rsidRPr="00237421" w:rsidRDefault="00FF71BF" w:rsidP="00FF71BF">
      <w:pPr>
        <w:jc w:val="both"/>
      </w:pPr>
      <w:r>
        <w:t xml:space="preserve">         </w:t>
      </w:r>
      <w:r w:rsidR="006B7261" w:rsidRPr="00237421">
        <w:t>З метою</w:t>
      </w:r>
      <w:r w:rsidR="006B7261">
        <w:t xml:space="preserve"> врегулювання питання затвердження кошторисної заробітної плати при визначенні </w:t>
      </w:r>
      <w:r w:rsidR="007F4A89" w:rsidRPr="007F4A89">
        <w:t>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міського бюджету м. Суми</w:t>
      </w:r>
      <w:r w:rsidR="00396A84">
        <w:t>,</w:t>
      </w:r>
      <w:r w:rsidR="003B14D0">
        <w:t xml:space="preserve"> керуючись наказом Міністерства</w:t>
      </w:r>
      <w:r w:rsidR="007F4A89">
        <w:t xml:space="preserve"> регіонального розвитку, будівництва та житлово-комунального господарства України від 20 жовтня 2016 року №281 «Про затвердження Порядку розрахунку розміру кошторисної </w:t>
      </w:r>
      <w:r w:rsidR="003B14D0">
        <w:t>заробітної плати, який враховується при визначенні вартості будівнитцва об</w:t>
      </w:r>
      <w:r w:rsidR="003B14D0" w:rsidRPr="003B14D0">
        <w:t>’</w:t>
      </w:r>
      <w:r w:rsidR="003B14D0">
        <w:t>єктів»,</w:t>
      </w:r>
      <w:r w:rsidR="00396A84">
        <w:t xml:space="preserve">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Default="006B7261" w:rsidP="00396A84">
      <w:pPr>
        <w:ind w:firstLine="540"/>
        <w:jc w:val="both"/>
        <w:rPr>
          <w:noProof w:val="0"/>
        </w:rPr>
      </w:pPr>
      <w:r>
        <w:rPr>
          <w:noProof w:val="0"/>
        </w:rPr>
        <w:t xml:space="preserve">1. </w:t>
      </w:r>
      <w:r w:rsidR="003B14D0">
        <w:rPr>
          <w:noProof w:val="0"/>
        </w:rPr>
        <w:t>Прийняти для розрахунку вартості будівництва (нового будівництва, реконструкції, реставрації, капітального ремонту, технічного переоснащення) об</w:t>
      </w:r>
      <w:r w:rsidR="003B14D0" w:rsidRPr="003B14D0">
        <w:rPr>
          <w:noProof w:val="0"/>
        </w:rPr>
        <w:t>’</w:t>
      </w:r>
      <w:r w:rsidR="003B14D0">
        <w:rPr>
          <w:noProof w:val="0"/>
        </w:rPr>
        <w:t>єктів, що здійснюється за рахунок коштів міського бюджету м. Суми, дані наступних підрядних організацій: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Приватного підприємства «</w:t>
      </w:r>
      <w:proofErr w:type="spellStart"/>
      <w:r>
        <w:rPr>
          <w:noProof w:val="0"/>
        </w:rPr>
        <w:t>Приватбудсервіс</w:t>
      </w:r>
      <w:proofErr w:type="spellEnd"/>
      <w:r>
        <w:rPr>
          <w:noProof w:val="0"/>
        </w:rPr>
        <w:t>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«ТОПАЗ»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«БУДОРТРАНС»</w:t>
      </w:r>
      <w:r w:rsidR="008F4115" w:rsidRPr="008F4115">
        <w:rPr>
          <w:noProof w:val="0"/>
          <w:lang w:val="ru-RU"/>
        </w:rPr>
        <w:t>;</w:t>
      </w:r>
    </w:p>
    <w:p w:rsidR="006B7261" w:rsidRDefault="003B14D0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 xml:space="preserve">- </w:t>
      </w:r>
      <w:r w:rsidR="008F4115">
        <w:rPr>
          <w:noProof w:val="0"/>
        </w:rPr>
        <w:t>Комунального підприємства «</w:t>
      </w:r>
      <w:proofErr w:type="spellStart"/>
      <w:r w:rsidR="008F4115">
        <w:rPr>
          <w:noProof w:val="0"/>
        </w:rPr>
        <w:t>Шляхрембуд</w:t>
      </w:r>
      <w:proofErr w:type="spellEnd"/>
      <w:r w:rsidR="008F4115">
        <w:rPr>
          <w:noProof w:val="0"/>
        </w:rPr>
        <w:t>»</w:t>
      </w:r>
      <w:r w:rsidR="008F4115" w:rsidRPr="008F4115">
        <w:rPr>
          <w:noProof w:val="0"/>
          <w:lang w:val="ru-RU"/>
        </w:rPr>
        <w:t>;</w:t>
      </w:r>
    </w:p>
    <w:p w:rsidR="008F4115" w:rsidRDefault="008F4115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proofErr w:type="spellStart"/>
      <w:r>
        <w:rPr>
          <w:noProof w:val="0"/>
          <w:lang w:val="ru-RU"/>
        </w:rPr>
        <w:t>Товариство</w:t>
      </w:r>
      <w:proofErr w:type="spellEnd"/>
      <w:r>
        <w:rPr>
          <w:noProof w:val="0"/>
          <w:lang w:val="ru-RU"/>
        </w:rPr>
        <w:t xml:space="preserve"> з </w:t>
      </w:r>
      <w:proofErr w:type="spellStart"/>
      <w:r>
        <w:rPr>
          <w:noProof w:val="0"/>
          <w:lang w:val="ru-RU"/>
        </w:rPr>
        <w:t>обмеженою</w:t>
      </w:r>
      <w:proofErr w:type="spellEnd"/>
      <w:r>
        <w:rPr>
          <w:noProof w:val="0"/>
          <w:lang w:val="ru-RU"/>
        </w:rPr>
        <w:t xml:space="preserve"> </w:t>
      </w:r>
      <w:proofErr w:type="spellStart"/>
      <w:r>
        <w:rPr>
          <w:noProof w:val="0"/>
          <w:lang w:val="ru-RU"/>
        </w:rPr>
        <w:t>відповідальністю</w:t>
      </w:r>
      <w:proofErr w:type="spellEnd"/>
      <w:r>
        <w:rPr>
          <w:noProof w:val="0"/>
          <w:lang w:val="ru-RU"/>
        </w:rPr>
        <w:t xml:space="preserve"> «Суми - </w:t>
      </w:r>
      <w:proofErr w:type="spellStart"/>
      <w:r>
        <w:rPr>
          <w:noProof w:val="0"/>
          <w:lang w:val="ru-RU"/>
        </w:rPr>
        <w:t>Сервіс</w:t>
      </w:r>
      <w:proofErr w:type="spellEnd"/>
      <w:r>
        <w:rPr>
          <w:noProof w:val="0"/>
          <w:lang w:val="ru-RU"/>
        </w:rPr>
        <w:t xml:space="preserve"> - Буд».</w:t>
      </w:r>
    </w:p>
    <w:p w:rsidR="008F4115" w:rsidRPr="008F4115" w:rsidRDefault="008F4115" w:rsidP="008F4115">
      <w:pPr>
        <w:ind w:firstLine="540"/>
        <w:jc w:val="both"/>
        <w:rPr>
          <w:noProof w:val="0"/>
          <w:lang w:val="ru-RU"/>
        </w:rPr>
      </w:pPr>
    </w:p>
    <w:p w:rsidR="006B7261" w:rsidRDefault="006B7261" w:rsidP="006B7261">
      <w:pPr>
        <w:ind w:firstLine="540"/>
        <w:jc w:val="both"/>
        <w:rPr>
          <w:noProof w:val="0"/>
        </w:rPr>
      </w:pPr>
      <w:r w:rsidRPr="00237421">
        <w:rPr>
          <w:noProof w:val="0"/>
          <w:szCs w:val="28"/>
        </w:rPr>
        <w:t xml:space="preserve">2. </w:t>
      </w:r>
      <w:r w:rsidR="008F4115">
        <w:t xml:space="preserve">Установити розмір кошторисної заробітної плати при визначенні вартості будівнитцва </w:t>
      </w:r>
      <w:r w:rsidR="008F4115">
        <w:rPr>
          <w:noProof w:val="0"/>
        </w:rPr>
        <w:t>(нового будівництва, реконструкції, реставрації, капітального ремонту, технічного переоснащення) об</w:t>
      </w:r>
      <w:r w:rsidR="008F4115" w:rsidRPr="003B14D0">
        <w:rPr>
          <w:noProof w:val="0"/>
        </w:rPr>
        <w:t>’</w:t>
      </w:r>
      <w:r w:rsidR="008F4115">
        <w:rPr>
          <w:noProof w:val="0"/>
        </w:rPr>
        <w:t xml:space="preserve">єктів, що здійснюється за рахунок </w:t>
      </w:r>
      <w:r w:rsidR="008F4115">
        <w:rPr>
          <w:noProof w:val="0"/>
        </w:rPr>
        <w:lastRenderedPageBreak/>
        <w:t xml:space="preserve">коштів міського бюджету м. Суми, у розмірі 4545, 00 грн., що відповідає середньому розряду складності робіт 3,8. </w:t>
      </w:r>
    </w:p>
    <w:p w:rsidR="008F4115" w:rsidRDefault="008F4115" w:rsidP="006B7261">
      <w:pPr>
        <w:ind w:firstLine="540"/>
        <w:jc w:val="both"/>
      </w:pPr>
    </w:p>
    <w:p w:rsidR="008F4115" w:rsidRDefault="008F4115" w:rsidP="006B7261">
      <w:pPr>
        <w:ind w:firstLine="540"/>
        <w:jc w:val="both"/>
      </w:pPr>
      <w:r>
        <w:rPr>
          <w:noProof w:val="0"/>
          <w:szCs w:val="28"/>
        </w:rPr>
        <w:t>3</w:t>
      </w:r>
      <w:r w:rsidRPr="00237421">
        <w:rPr>
          <w:noProof w:val="0"/>
          <w:szCs w:val="28"/>
        </w:rPr>
        <w:t xml:space="preserve">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F70C88">
      <w:pPr>
        <w:jc w:val="both"/>
      </w:pPr>
    </w:p>
    <w:p w:rsidR="00F70C88" w:rsidRDefault="00F70C88" w:rsidP="00F70C88">
      <w:pPr>
        <w:jc w:val="both"/>
      </w:pPr>
    </w:p>
    <w:p w:rsidR="008F4115" w:rsidRDefault="008F4115" w:rsidP="00F70C88">
      <w:pPr>
        <w:jc w:val="both"/>
      </w:pPr>
    </w:p>
    <w:p w:rsidR="008F4115" w:rsidRPr="00F078F8" w:rsidRDefault="008F4115" w:rsidP="00F70C88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B7261" w:rsidRPr="00F70C88" w:rsidTr="00986D43">
        <w:trPr>
          <w:tblCellSpacing w:w="0" w:type="dxa"/>
        </w:trPr>
        <w:tc>
          <w:tcPr>
            <w:tcW w:w="2500" w:type="pct"/>
            <w:vAlign w:val="center"/>
          </w:tcPr>
          <w:p w:rsidR="006B7261" w:rsidRPr="00F70C88" w:rsidRDefault="006B7261" w:rsidP="00986D43">
            <w:pPr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6B7261" w:rsidRPr="00F70C88" w:rsidRDefault="006B7261" w:rsidP="00986D43">
            <w:pPr>
              <w:jc w:val="right"/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О.М.</w:t>
            </w:r>
            <w:r w:rsidR="00F70C88">
              <w:rPr>
                <w:bCs/>
                <w:noProof w:val="0"/>
                <w:szCs w:val="28"/>
              </w:rPr>
              <w:t xml:space="preserve"> </w:t>
            </w:r>
            <w:r w:rsidRPr="00F70C88">
              <w:rPr>
                <w:bCs/>
                <w:noProof w:val="0"/>
                <w:szCs w:val="28"/>
              </w:rPr>
              <w:t>Лисенко</w:t>
            </w:r>
          </w:p>
        </w:tc>
      </w:tr>
    </w:tbl>
    <w:p w:rsidR="006B7261" w:rsidRPr="00F70C88" w:rsidRDefault="006B7261" w:rsidP="006B7261">
      <w:pPr>
        <w:rPr>
          <w:szCs w:val="28"/>
        </w:rPr>
      </w:pPr>
    </w:p>
    <w:p w:rsidR="006B7261" w:rsidRPr="00F70C88" w:rsidRDefault="006B7261" w:rsidP="006B726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8F4115" w:rsidRDefault="006B7261" w:rsidP="00F70C88">
      <w:pPr>
        <w:rPr>
          <w:szCs w:val="28"/>
        </w:rPr>
      </w:pPr>
      <w:r w:rsidRPr="00237421">
        <w:rPr>
          <w:szCs w:val="28"/>
        </w:rPr>
        <w:t xml:space="preserve">___________ </w:t>
      </w:r>
      <w:r>
        <w:rPr>
          <w:szCs w:val="28"/>
        </w:rPr>
        <w:t xml:space="preserve"> </w:t>
      </w:r>
      <w:r w:rsidR="00F70C88">
        <w:rPr>
          <w:szCs w:val="28"/>
        </w:rPr>
        <w:t xml:space="preserve">         </w:t>
      </w: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8F4115" w:rsidRDefault="008F4115" w:rsidP="00F70C88">
      <w:pPr>
        <w:rPr>
          <w:szCs w:val="28"/>
        </w:rPr>
      </w:pPr>
    </w:p>
    <w:p w:rsidR="006B7261" w:rsidRPr="00F70C88" w:rsidRDefault="00F70C88" w:rsidP="00F70C88">
      <w:pPr>
        <w:rPr>
          <w:szCs w:val="28"/>
        </w:rPr>
      </w:pPr>
      <w:r>
        <w:rPr>
          <w:szCs w:val="28"/>
        </w:rPr>
        <w:t xml:space="preserve">       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Ініціатор розгляду питання-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B65D4D" w:rsidRPr="008F4115" w:rsidRDefault="006B7261" w:rsidP="008F4115">
      <w:pPr>
        <w:jc w:val="both"/>
        <w:outlineLvl w:val="0"/>
        <w:rPr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Доповідач: В.В. Шилов</w:t>
      </w:r>
      <w:bookmarkStart w:id="0" w:name="_GoBack"/>
      <w:bookmarkEnd w:id="0"/>
    </w:p>
    <w:sectPr w:rsidR="00B65D4D" w:rsidRPr="008F4115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1741FC"/>
    <w:rsid w:val="00396A84"/>
    <w:rsid w:val="003B14D0"/>
    <w:rsid w:val="005624FC"/>
    <w:rsid w:val="006B7261"/>
    <w:rsid w:val="007F0485"/>
    <w:rsid w:val="007F4A89"/>
    <w:rsid w:val="008F4115"/>
    <w:rsid w:val="00A75A26"/>
    <w:rsid w:val="00B65D4D"/>
    <w:rsid w:val="00CA702E"/>
    <w:rsid w:val="00F70C8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6</cp:revision>
  <cp:lastPrinted>2017-05-12T11:00:00Z</cp:lastPrinted>
  <dcterms:created xsi:type="dcterms:W3CDTF">2017-04-24T06:33:00Z</dcterms:created>
  <dcterms:modified xsi:type="dcterms:W3CDTF">2017-05-13T09:16:00Z</dcterms:modified>
</cp:coreProperties>
</file>