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2900B7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  <w:r w:rsidR="00EB520D"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CD6DF2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76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548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1D4EF7">
              <w:rPr>
                <w:rFonts w:eastAsia="Calibri"/>
                <w:b/>
                <w:sz w:val="28"/>
                <w:szCs w:val="28"/>
                <w:lang w:val="uk-UA" w:eastAsia="en-US"/>
              </w:rPr>
              <w:t>653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1D4EF7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665</w:t>
            </w:r>
            <w:r w:rsidR="004273B1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4273B1">
              <w:rPr>
                <w:b/>
                <w:sz w:val="28"/>
                <w:szCs w:val="28"/>
                <w:lang w:val="uk-UA"/>
              </w:rPr>
              <w:t>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2900B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888902,63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2900B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76228,92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</w:t>
            </w:r>
            <w:r w:rsidR="008965B0">
              <w:rPr>
                <w:rFonts w:eastAsia="Calibri"/>
                <w:b/>
                <w:lang w:val="uk-UA" w:eastAsia="en-US"/>
              </w:rPr>
              <w:t>4</w:t>
            </w:r>
            <w:r w:rsidR="001D4EF7">
              <w:rPr>
                <w:rFonts w:eastAsia="Calibri"/>
                <w:b/>
                <w:lang w:val="uk-UA" w:eastAsia="en-US"/>
              </w:rPr>
              <w:t>6726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1D4EF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11436</w:t>
            </w:r>
            <w:r w:rsidR="004273B1">
              <w:rPr>
                <w:rFonts w:eastAsia="Calibri"/>
                <w:b/>
                <w:lang w:val="uk-UA" w:eastAsia="en-US"/>
              </w:rPr>
              <w:t>,</w:t>
            </w:r>
            <w:r>
              <w:rPr>
                <w:rFonts w:eastAsia="Calibri"/>
                <w:b/>
                <w:lang w:val="uk-UA" w:eastAsia="en-US"/>
              </w:rPr>
              <w:t>30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</w:t>
            </w:r>
            <w:r w:rsidR="001D4EF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1D4EF7">
              <w:rPr>
                <w:rFonts w:eastAsia="Calibri"/>
                <w:b/>
                <w:lang w:val="uk-UA" w:eastAsia="en-US"/>
              </w:rPr>
              <w:t>653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1D4EF7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87665</w:t>
            </w:r>
            <w:r w:rsidR="002900B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2900B7">
              <w:rPr>
                <w:b/>
                <w:lang w:val="uk-UA"/>
              </w:rPr>
              <w:t>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D6DF2" w:rsidRDefault="00CD6DF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CD6DF2">
        <w:rPr>
          <w:bCs/>
          <w:sz w:val="28"/>
          <w:szCs w:val="28"/>
          <w:lang w:val="uk-UA"/>
        </w:rPr>
        <w:t xml:space="preserve">Виконуючий обов'язки міського голови         </w:t>
      </w:r>
    </w:p>
    <w:p w:rsidR="00C1321A" w:rsidRPr="001808BB" w:rsidRDefault="00CD6DF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bookmarkStart w:id="0" w:name="_GoBack"/>
      <w:bookmarkEnd w:id="0"/>
      <w:r w:rsidRPr="00CD6DF2">
        <w:rPr>
          <w:bCs/>
          <w:sz w:val="28"/>
          <w:szCs w:val="28"/>
          <w:lang w:val="uk-UA"/>
        </w:rPr>
        <w:t>з виконавчої роботи</w:t>
      </w:r>
      <w:r w:rsidR="00C1321A" w:rsidRPr="001808BB">
        <w:rPr>
          <w:bCs/>
          <w:sz w:val="28"/>
          <w:szCs w:val="28"/>
          <w:lang w:val="uk-UA"/>
        </w:rPr>
        <w:tab/>
      </w:r>
      <w:r w:rsidR="001D4EF7">
        <w:rPr>
          <w:bCs/>
          <w:sz w:val="28"/>
          <w:szCs w:val="28"/>
          <w:lang w:val="uk-UA"/>
        </w:rPr>
        <w:t>В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1D4EF7">
        <w:rPr>
          <w:bCs/>
          <w:sz w:val="28"/>
          <w:szCs w:val="28"/>
          <w:lang w:val="uk-UA"/>
        </w:rPr>
        <w:t>В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1D4EF7">
        <w:rPr>
          <w:bCs/>
          <w:sz w:val="28"/>
          <w:szCs w:val="28"/>
          <w:lang w:val="uk-UA"/>
        </w:rPr>
        <w:t>Войт</w:t>
      </w:r>
      <w:r w:rsidR="00C1321A" w:rsidRPr="001808BB">
        <w:rPr>
          <w:bCs/>
          <w:sz w:val="28"/>
          <w:szCs w:val="28"/>
          <w:lang w:val="uk-UA"/>
        </w:rPr>
        <w:t>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D4EF7">
        <w:rPr>
          <w:bCs/>
          <w:lang w:val="uk-UA"/>
        </w:rPr>
        <w:t>Павл</w:t>
      </w:r>
      <w:r w:rsidRPr="001808BB">
        <w:rPr>
          <w:bCs/>
          <w:lang w:val="uk-UA"/>
        </w:rPr>
        <w:t xml:space="preserve">енко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5173-A942-45C4-AA13-BF5FD57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17</cp:revision>
  <cp:lastPrinted>2019-01-21T08:21:00Z</cp:lastPrinted>
  <dcterms:created xsi:type="dcterms:W3CDTF">2018-09-25T05:21:00Z</dcterms:created>
  <dcterms:modified xsi:type="dcterms:W3CDTF">2019-01-21T08:22:00Z</dcterms:modified>
</cp:coreProperties>
</file>