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0AA" w:rsidRPr="00156B5F" w:rsidRDefault="00337B03" w:rsidP="0039346C">
      <w:pPr>
        <w:jc w:val="center"/>
        <w:rPr>
          <w:szCs w:val="28"/>
        </w:rPr>
      </w:pPr>
      <w:r w:rsidRPr="00156B5F">
        <w:rPr>
          <w:szCs w:val="28"/>
        </w:rPr>
        <w:t>Порівняльна таблиця щодо внесення змін до рішення Сумської міської рад</w:t>
      </w:r>
      <w:r w:rsidR="00DE3A78">
        <w:rPr>
          <w:szCs w:val="28"/>
        </w:rPr>
        <w:t>и від 28 листопада 2018 року №41</w:t>
      </w:r>
      <w:r w:rsidRPr="00156B5F">
        <w:rPr>
          <w:szCs w:val="28"/>
        </w:rPr>
        <w:t xml:space="preserve">53-МР «Про затвердження комплексної </w:t>
      </w:r>
      <w:r w:rsidR="002500AA" w:rsidRPr="00156B5F">
        <w:rPr>
          <w:szCs w:val="28"/>
        </w:rPr>
        <w:t xml:space="preserve">цільової Програми управління та ефективного використання майна комунальної власності та земельних ресурсів </w:t>
      </w:r>
      <w:r w:rsidR="00985791" w:rsidRPr="00EB035E">
        <w:rPr>
          <w:szCs w:val="28"/>
        </w:rPr>
        <w:t>територіальної громади міста Суми на 2019-2021 роки»</w:t>
      </w:r>
      <w:r w:rsidR="00985791" w:rsidRPr="00EB109C">
        <w:rPr>
          <w:szCs w:val="28"/>
        </w:rPr>
        <w:t xml:space="preserve"> (зі змінами)</w:t>
      </w:r>
    </w:p>
    <w:p w:rsidR="00016BF1" w:rsidRDefault="00016BF1" w:rsidP="00755D9D">
      <w:pPr>
        <w:jc w:val="both"/>
        <w:rPr>
          <w:b w:val="0"/>
          <w:sz w:val="24"/>
          <w:szCs w:val="24"/>
        </w:rPr>
      </w:pPr>
    </w:p>
    <w:p w:rsidR="00016BF1" w:rsidRDefault="00016BF1" w:rsidP="00755D9D">
      <w:pPr>
        <w:jc w:val="both"/>
        <w:rPr>
          <w:b w:val="0"/>
          <w:sz w:val="24"/>
          <w:szCs w:val="24"/>
        </w:rPr>
      </w:pPr>
    </w:p>
    <w:tbl>
      <w:tblPr>
        <w:tblStyle w:val="a6"/>
        <w:tblW w:w="0" w:type="auto"/>
        <w:tblInd w:w="311" w:type="dxa"/>
        <w:tblLook w:val="04A0" w:firstRow="1" w:lastRow="0" w:firstColumn="1" w:lastColumn="0" w:noHBand="0" w:noVBand="1"/>
      </w:tblPr>
      <w:tblGrid>
        <w:gridCol w:w="3132"/>
        <w:gridCol w:w="1741"/>
        <w:gridCol w:w="1876"/>
        <w:gridCol w:w="1906"/>
        <w:gridCol w:w="1906"/>
        <w:gridCol w:w="1699"/>
        <w:gridCol w:w="2817"/>
      </w:tblGrid>
      <w:tr w:rsidR="00B60A04" w:rsidTr="009A0F24">
        <w:tc>
          <w:tcPr>
            <w:tcW w:w="3146" w:type="dxa"/>
            <w:vMerge w:val="restart"/>
          </w:tcPr>
          <w:p w:rsidR="00B60A04" w:rsidRDefault="00B60A04" w:rsidP="00755D9D">
            <w:pPr>
              <w:jc w:val="both"/>
              <w:rPr>
                <w:b w:val="0"/>
                <w:sz w:val="24"/>
                <w:szCs w:val="24"/>
              </w:rPr>
            </w:pPr>
            <w:r w:rsidRPr="008566A9">
              <w:rPr>
                <w:sz w:val="22"/>
                <w:szCs w:val="22"/>
              </w:rPr>
              <w:t>Перелік завдань програми</w:t>
            </w:r>
          </w:p>
        </w:tc>
        <w:tc>
          <w:tcPr>
            <w:tcW w:w="1741" w:type="dxa"/>
            <w:vAlign w:val="center"/>
          </w:tcPr>
          <w:p w:rsidR="00B60A04" w:rsidRPr="00B60A04" w:rsidRDefault="00B60A04" w:rsidP="00B60A04">
            <w:pPr>
              <w:jc w:val="center"/>
              <w:rPr>
                <w:sz w:val="24"/>
                <w:szCs w:val="24"/>
              </w:rPr>
            </w:pPr>
            <w:r w:rsidRPr="00B60A04">
              <w:rPr>
                <w:sz w:val="24"/>
                <w:szCs w:val="24"/>
              </w:rPr>
              <w:t>2019 рік (затверджено)</w:t>
            </w:r>
          </w:p>
        </w:tc>
        <w:tc>
          <w:tcPr>
            <w:tcW w:w="1877" w:type="dxa"/>
            <w:vAlign w:val="center"/>
          </w:tcPr>
          <w:p w:rsidR="00B60A04" w:rsidRPr="00B60A04" w:rsidRDefault="00B60A04" w:rsidP="00B60A04">
            <w:pPr>
              <w:jc w:val="center"/>
              <w:rPr>
                <w:sz w:val="24"/>
                <w:szCs w:val="24"/>
              </w:rPr>
            </w:pPr>
            <w:r w:rsidRPr="00B60A04">
              <w:rPr>
                <w:sz w:val="24"/>
                <w:szCs w:val="24"/>
              </w:rPr>
              <w:t>2020 рік (затверджено)</w:t>
            </w:r>
          </w:p>
        </w:tc>
        <w:tc>
          <w:tcPr>
            <w:tcW w:w="1906" w:type="dxa"/>
            <w:vAlign w:val="center"/>
          </w:tcPr>
          <w:p w:rsidR="00B60A04" w:rsidRPr="00B60A04" w:rsidRDefault="00B60A04" w:rsidP="00B60A04">
            <w:pPr>
              <w:jc w:val="center"/>
              <w:rPr>
                <w:sz w:val="24"/>
                <w:szCs w:val="24"/>
              </w:rPr>
            </w:pPr>
            <w:r w:rsidRPr="00B60A04">
              <w:rPr>
                <w:sz w:val="24"/>
                <w:szCs w:val="24"/>
              </w:rPr>
              <w:t>2019 рік (пропонується)</w:t>
            </w:r>
          </w:p>
        </w:tc>
        <w:tc>
          <w:tcPr>
            <w:tcW w:w="1906" w:type="dxa"/>
            <w:vAlign w:val="center"/>
          </w:tcPr>
          <w:p w:rsidR="00B60A04" w:rsidRPr="00B60A04" w:rsidRDefault="00B60A04" w:rsidP="00B60A04">
            <w:pPr>
              <w:jc w:val="center"/>
              <w:rPr>
                <w:sz w:val="24"/>
                <w:szCs w:val="24"/>
              </w:rPr>
            </w:pPr>
            <w:r w:rsidRPr="00B60A04">
              <w:rPr>
                <w:sz w:val="24"/>
                <w:szCs w:val="24"/>
              </w:rPr>
              <w:t>2020 рік (пропонується)</w:t>
            </w:r>
          </w:p>
        </w:tc>
        <w:tc>
          <w:tcPr>
            <w:tcW w:w="1705" w:type="dxa"/>
            <w:vAlign w:val="center"/>
          </w:tcPr>
          <w:p w:rsidR="00B60A04" w:rsidRPr="00B60A04" w:rsidRDefault="00B60A04" w:rsidP="00B60A04">
            <w:pPr>
              <w:jc w:val="center"/>
              <w:rPr>
                <w:sz w:val="24"/>
                <w:szCs w:val="24"/>
              </w:rPr>
            </w:pPr>
            <w:r w:rsidRPr="00B60A04">
              <w:rPr>
                <w:sz w:val="24"/>
                <w:szCs w:val="24"/>
              </w:rPr>
              <w:t>Різниця</w:t>
            </w:r>
          </w:p>
        </w:tc>
        <w:tc>
          <w:tcPr>
            <w:tcW w:w="2825" w:type="dxa"/>
            <w:vAlign w:val="center"/>
          </w:tcPr>
          <w:p w:rsidR="00B60A04" w:rsidRPr="00B60A04" w:rsidRDefault="00AC3BB5" w:rsidP="00B60A04">
            <w:pPr>
              <w:jc w:val="center"/>
              <w:rPr>
                <w:sz w:val="24"/>
                <w:szCs w:val="24"/>
              </w:rPr>
            </w:pPr>
            <w:r w:rsidRPr="00B60A04">
              <w:rPr>
                <w:sz w:val="24"/>
                <w:szCs w:val="24"/>
              </w:rPr>
              <w:t>Обґрунтування</w:t>
            </w:r>
          </w:p>
        </w:tc>
      </w:tr>
      <w:tr w:rsidR="00B60A04" w:rsidTr="009A0F24">
        <w:tc>
          <w:tcPr>
            <w:tcW w:w="3146" w:type="dxa"/>
            <w:vMerge/>
          </w:tcPr>
          <w:p w:rsidR="00B60A04" w:rsidRDefault="00B60A04" w:rsidP="00755D9D">
            <w:pPr>
              <w:jc w:val="both"/>
              <w:rPr>
                <w:b w:val="0"/>
                <w:sz w:val="24"/>
                <w:szCs w:val="24"/>
              </w:rPr>
            </w:pPr>
          </w:p>
        </w:tc>
        <w:tc>
          <w:tcPr>
            <w:tcW w:w="1741" w:type="dxa"/>
            <w:vAlign w:val="center"/>
          </w:tcPr>
          <w:p w:rsidR="00B60A04" w:rsidRPr="00B60A04" w:rsidRDefault="00B60A04" w:rsidP="00B60A04">
            <w:pPr>
              <w:jc w:val="center"/>
              <w:rPr>
                <w:sz w:val="24"/>
                <w:szCs w:val="24"/>
              </w:rPr>
            </w:pPr>
            <w:r w:rsidRPr="00B60A04">
              <w:rPr>
                <w:sz w:val="24"/>
                <w:szCs w:val="24"/>
              </w:rPr>
              <w:t>Разом</w:t>
            </w:r>
          </w:p>
        </w:tc>
        <w:tc>
          <w:tcPr>
            <w:tcW w:w="1877" w:type="dxa"/>
            <w:vAlign w:val="center"/>
          </w:tcPr>
          <w:p w:rsidR="00B60A04" w:rsidRPr="00B60A04" w:rsidRDefault="00B60A04" w:rsidP="00B60A04">
            <w:pPr>
              <w:jc w:val="center"/>
              <w:rPr>
                <w:sz w:val="24"/>
                <w:szCs w:val="24"/>
              </w:rPr>
            </w:pPr>
            <w:r w:rsidRPr="00B60A04">
              <w:rPr>
                <w:sz w:val="24"/>
                <w:szCs w:val="24"/>
              </w:rPr>
              <w:t>Разом</w:t>
            </w:r>
          </w:p>
        </w:tc>
        <w:tc>
          <w:tcPr>
            <w:tcW w:w="1906" w:type="dxa"/>
            <w:vAlign w:val="center"/>
          </w:tcPr>
          <w:p w:rsidR="00B60A04" w:rsidRPr="00B60A04" w:rsidRDefault="00B60A04" w:rsidP="00B60A04">
            <w:pPr>
              <w:jc w:val="center"/>
              <w:rPr>
                <w:sz w:val="24"/>
                <w:szCs w:val="24"/>
              </w:rPr>
            </w:pPr>
            <w:r w:rsidRPr="00B60A04">
              <w:rPr>
                <w:sz w:val="24"/>
                <w:szCs w:val="24"/>
              </w:rPr>
              <w:t>Разом</w:t>
            </w:r>
          </w:p>
        </w:tc>
        <w:tc>
          <w:tcPr>
            <w:tcW w:w="1906" w:type="dxa"/>
            <w:vAlign w:val="center"/>
          </w:tcPr>
          <w:p w:rsidR="00B60A04" w:rsidRPr="00B60A04" w:rsidRDefault="00B60A04" w:rsidP="00B60A04">
            <w:pPr>
              <w:jc w:val="center"/>
              <w:rPr>
                <w:sz w:val="24"/>
                <w:szCs w:val="24"/>
              </w:rPr>
            </w:pPr>
            <w:r w:rsidRPr="00B60A04">
              <w:rPr>
                <w:sz w:val="24"/>
                <w:szCs w:val="24"/>
              </w:rPr>
              <w:t>Разом</w:t>
            </w:r>
          </w:p>
        </w:tc>
        <w:tc>
          <w:tcPr>
            <w:tcW w:w="1705" w:type="dxa"/>
            <w:vAlign w:val="center"/>
          </w:tcPr>
          <w:p w:rsidR="00B60A04" w:rsidRPr="00B60A04" w:rsidRDefault="00B60A04" w:rsidP="00B60A04">
            <w:pPr>
              <w:jc w:val="center"/>
              <w:rPr>
                <w:sz w:val="24"/>
                <w:szCs w:val="24"/>
              </w:rPr>
            </w:pPr>
          </w:p>
        </w:tc>
        <w:tc>
          <w:tcPr>
            <w:tcW w:w="2825" w:type="dxa"/>
            <w:vMerge w:val="restart"/>
          </w:tcPr>
          <w:p w:rsidR="00B60A04" w:rsidRDefault="00B60A04" w:rsidP="00755D9D">
            <w:pPr>
              <w:jc w:val="both"/>
              <w:rPr>
                <w:b w:val="0"/>
                <w:sz w:val="24"/>
                <w:szCs w:val="24"/>
              </w:rPr>
            </w:pPr>
            <w:r>
              <w:rPr>
                <w:b w:val="0"/>
                <w:sz w:val="22"/>
                <w:szCs w:val="22"/>
              </w:rPr>
              <w:t>У зв'язку з не виконанням в 2019 році заходу з розробки нормативної грошової оцінки земель міста Суми невикористані кошти з 2019 року переносяться на 2020 рік</w:t>
            </w:r>
          </w:p>
        </w:tc>
      </w:tr>
      <w:tr w:rsidR="00B60A04" w:rsidTr="009A0F24">
        <w:trPr>
          <w:trHeight w:val="1298"/>
        </w:trPr>
        <w:tc>
          <w:tcPr>
            <w:tcW w:w="3146" w:type="dxa"/>
            <w:vAlign w:val="center"/>
          </w:tcPr>
          <w:p w:rsidR="00B60A04" w:rsidRPr="00B60A04" w:rsidRDefault="00B60A04" w:rsidP="00B60A04">
            <w:pPr>
              <w:jc w:val="both"/>
              <w:rPr>
                <w:sz w:val="24"/>
                <w:szCs w:val="24"/>
              </w:rPr>
            </w:pPr>
            <w:r w:rsidRPr="00B60A04">
              <w:rPr>
                <w:sz w:val="22"/>
                <w:szCs w:val="22"/>
              </w:rPr>
              <w:t>Розвиток земельних відносин на території Сумської</w:t>
            </w:r>
            <w:r w:rsidR="00BB57BA">
              <w:rPr>
                <w:sz w:val="22"/>
                <w:szCs w:val="22"/>
              </w:rPr>
              <w:t xml:space="preserve"> міської</w:t>
            </w:r>
            <w:r w:rsidRPr="00B60A04">
              <w:rPr>
                <w:sz w:val="22"/>
                <w:szCs w:val="22"/>
              </w:rPr>
              <w:t xml:space="preserve"> об'єднаної територіальної громади, грн.</w:t>
            </w:r>
          </w:p>
        </w:tc>
        <w:tc>
          <w:tcPr>
            <w:tcW w:w="1741" w:type="dxa"/>
            <w:vAlign w:val="center"/>
          </w:tcPr>
          <w:p w:rsidR="00B60A04" w:rsidRPr="00B60A04" w:rsidRDefault="00B60A04" w:rsidP="00B60A04">
            <w:pPr>
              <w:jc w:val="center"/>
              <w:rPr>
                <w:sz w:val="24"/>
                <w:szCs w:val="24"/>
              </w:rPr>
            </w:pPr>
            <w:r w:rsidRPr="00B60A04">
              <w:rPr>
                <w:sz w:val="24"/>
                <w:szCs w:val="24"/>
              </w:rPr>
              <w:t>2 581 000</w:t>
            </w:r>
          </w:p>
        </w:tc>
        <w:tc>
          <w:tcPr>
            <w:tcW w:w="1877" w:type="dxa"/>
            <w:vAlign w:val="center"/>
          </w:tcPr>
          <w:p w:rsidR="00B60A04" w:rsidRPr="00B60A04" w:rsidRDefault="00B60A04" w:rsidP="00B60A04">
            <w:pPr>
              <w:jc w:val="center"/>
              <w:rPr>
                <w:sz w:val="24"/>
                <w:szCs w:val="24"/>
              </w:rPr>
            </w:pPr>
            <w:r w:rsidRPr="00B60A04">
              <w:rPr>
                <w:sz w:val="24"/>
                <w:szCs w:val="24"/>
              </w:rPr>
              <w:t>1 110 000</w:t>
            </w:r>
          </w:p>
        </w:tc>
        <w:tc>
          <w:tcPr>
            <w:tcW w:w="1906" w:type="dxa"/>
            <w:vAlign w:val="center"/>
          </w:tcPr>
          <w:p w:rsidR="00B60A04" w:rsidRPr="00B60A04" w:rsidRDefault="00B60A04" w:rsidP="00B60A04">
            <w:pPr>
              <w:jc w:val="center"/>
              <w:rPr>
                <w:sz w:val="24"/>
                <w:szCs w:val="24"/>
              </w:rPr>
            </w:pPr>
            <w:r w:rsidRPr="00B60A04">
              <w:rPr>
                <w:sz w:val="24"/>
                <w:szCs w:val="24"/>
              </w:rPr>
              <w:t>2 181 000</w:t>
            </w:r>
          </w:p>
        </w:tc>
        <w:tc>
          <w:tcPr>
            <w:tcW w:w="1906" w:type="dxa"/>
            <w:vAlign w:val="center"/>
          </w:tcPr>
          <w:p w:rsidR="00B60A04" w:rsidRPr="00B60A04" w:rsidRDefault="00B60A04" w:rsidP="00B60A04">
            <w:pPr>
              <w:jc w:val="center"/>
              <w:rPr>
                <w:sz w:val="24"/>
                <w:szCs w:val="24"/>
              </w:rPr>
            </w:pPr>
            <w:r w:rsidRPr="00B60A04">
              <w:rPr>
                <w:sz w:val="24"/>
                <w:szCs w:val="24"/>
              </w:rPr>
              <w:t>1 510 000</w:t>
            </w:r>
          </w:p>
        </w:tc>
        <w:tc>
          <w:tcPr>
            <w:tcW w:w="1705" w:type="dxa"/>
            <w:vAlign w:val="center"/>
          </w:tcPr>
          <w:p w:rsidR="00B60A04" w:rsidRPr="00B60A04" w:rsidRDefault="00B60A04" w:rsidP="00B60A04">
            <w:pPr>
              <w:jc w:val="center"/>
              <w:rPr>
                <w:sz w:val="24"/>
                <w:szCs w:val="24"/>
              </w:rPr>
            </w:pPr>
            <w:r w:rsidRPr="00B60A04">
              <w:rPr>
                <w:sz w:val="24"/>
                <w:szCs w:val="24"/>
              </w:rPr>
              <w:t>400 000</w:t>
            </w:r>
          </w:p>
        </w:tc>
        <w:tc>
          <w:tcPr>
            <w:tcW w:w="2825" w:type="dxa"/>
            <w:vMerge/>
          </w:tcPr>
          <w:p w:rsidR="00B60A04" w:rsidRDefault="00B60A04" w:rsidP="00755D9D">
            <w:pPr>
              <w:jc w:val="both"/>
              <w:rPr>
                <w:b w:val="0"/>
                <w:sz w:val="24"/>
                <w:szCs w:val="24"/>
              </w:rPr>
            </w:pPr>
          </w:p>
        </w:tc>
      </w:tr>
    </w:tbl>
    <w:p w:rsidR="00016BF1" w:rsidRPr="00755D9D" w:rsidRDefault="00016BF1" w:rsidP="00016BF1">
      <w:pPr>
        <w:jc w:val="both"/>
        <w:rPr>
          <w:b w:val="0"/>
          <w:sz w:val="24"/>
          <w:szCs w:val="24"/>
        </w:rPr>
      </w:pPr>
    </w:p>
    <w:p w:rsidR="00985791" w:rsidRDefault="00985791" w:rsidP="00E20515">
      <w:pPr>
        <w:tabs>
          <w:tab w:val="left" w:pos="709"/>
        </w:tabs>
        <w:ind w:left="142" w:right="89" w:firstLine="567"/>
        <w:jc w:val="both"/>
        <w:rPr>
          <w:b w:val="0"/>
          <w:szCs w:val="28"/>
        </w:rPr>
      </w:pPr>
      <w:r w:rsidRPr="00985791">
        <w:rPr>
          <w:b w:val="0"/>
          <w:szCs w:val="28"/>
        </w:rPr>
        <w:t xml:space="preserve">Словосполучення «м. Суми», «міста Суми», «у м. Суми», «територіальної громади міста Суми» замінити словосполученням «на території Сумської </w:t>
      </w:r>
      <w:r w:rsidR="00BB57BA">
        <w:rPr>
          <w:b w:val="0"/>
          <w:szCs w:val="28"/>
        </w:rPr>
        <w:t xml:space="preserve">міської </w:t>
      </w:r>
      <w:r w:rsidRPr="00985791">
        <w:rPr>
          <w:b w:val="0"/>
          <w:szCs w:val="28"/>
        </w:rPr>
        <w:t xml:space="preserve">об'єднаної територіальної громади» у відповідному відмінку, крім абзаців 3, 5, 6, 7 РОЗДІЛУ </w:t>
      </w:r>
      <w:r w:rsidRPr="00985791">
        <w:rPr>
          <w:b w:val="0"/>
          <w:szCs w:val="28"/>
          <w:lang w:val="en-US"/>
        </w:rPr>
        <w:t>II</w:t>
      </w:r>
      <w:r w:rsidRPr="00985791">
        <w:rPr>
          <w:b w:val="0"/>
          <w:szCs w:val="28"/>
        </w:rPr>
        <w:t xml:space="preserve">. «Визначення проблем, на розв’язання яких спрямована комплексна цільова Програма </w:t>
      </w:r>
      <w:r w:rsidRPr="00985791">
        <w:rPr>
          <w:b w:val="0"/>
          <w:bCs/>
          <w:szCs w:val="28"/>
        </w:rPr>
        <w:t>управління та ефективного використання майна комунальної власності та земельних ресурсів територіальної громади міста Суми</w:t>
      </w:r>
      <w:r w:rsidRPr="00985791">
        <w:rPr>
          <w:b w:val="0"/>
          <w:szCs w:val="28"/>
        </w:rPr>
        <w:t>».</w:t>
      </w:r>
    </w:p>
    <w:p w:rsidR="00E20515" w:rsidRDefault="00E20515" w:rsidP="00E20515">
      <w:pPr>
        <w:tabs>
          <w:tab w:val="left" w:pos="709"/>
        </w:tabs>
        <w:ind w:left="142" w:right="89" w:firstLine="567"/>
        <w:jc w:val="both"/>
        <w:rPr>
          <w:b w:val="0"/>
          <w:szCs w:val="28"/>
        </w:rPr>
      </w:pPr>
    </w:p>
    <w:p w:rsidR="00E20515" w:rsidRDefault="00E20515" w:rsidP="00E20515">
      <w:pPr>
        <w:tabs>
          <w:tab w:val="left" w:pos="709"/>
        </w:tabs>
        <w:ind w:left="142" w:right="89" w:firstLine="567"/>
        <w:jc w:val="both"/>
        <w:rPr>
          <w:b w:val="0"/>
          <w:szCs w:val="28"/>
        </w:rPr>
      </w:pPr>
      <w:r w:rsidRPr="00E20515">
        <w:rPr>
          <w:b w:val="0"/>
          <w:szCs w:val="28"/>
        </w:rPr>
        <w:t>У Підпрограмі ІІ «Оперативне управління та ефективне використання майна комунальної власності територіальної громади міста Суми» розділу IV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словосполучення «Міський бюджет» замінити словосполученням «Міський бюджет, бюджет</w:t>
      </w:r>
      <w:r w:rsidR="005B3BDE">
        <w:rPr>
          <w:b w:val="0"/>
          <w:szCs w:val="28"/>
        </w:rPr>
        <w:t xml:space="preserve"> </w:t>
      </w:r>
      <w:r w:rsidR="00BE2447">
        <w:rPr>
          <w:b w:val="0"/>
          <w:szCs w:val="28"/>
        </w:rPr>
        <w:t xml:space="preserve">Сумської міської </w:t>
      </w:r>
      <w:bookmarkStart w:id="0" w:name="_GoBack"/>
      <w:bookmarkEnd w:id="0"/>
      <w:r w:rsidR="005B3BDE" w:rsidRPr="005B3BDE">
        <w:rPr>
          <w:b w:val="0"/>
          <w:szCs w:val="28"/>
        </w:rPr>
        <w:t>об'єднаної територіальної громади</w:t>
      </w:r>
      <w:r w:rsidR="007E3450">
        <w:rPr>
          <w:b w:val="0"/>
          <w:szCs w:val="28"/>
        </w:rPr>
        <w:t>», крім завдання 6,</w:t>
      </w:r>
      <w:r w:rsidR="00BA2B0A">
        <w:rPr>
          <w:b w:val="0"/>
          <w:szCs w:val="28"/>
        </w:rPr>
        <w:t xml:space="preserve"> </w:t>
      </w:r>
      <w:r w:rsidR="007E3450">
        <w:rPr>
          <w:b w:val="0"/>
          <w:szCs w:val="28"/>
        </w:rPr>
        <w:t>7.</w:t>
      </w:r>
    </w:p>
    <w:p w:rsidR="009668CE" w:rsidRDefault="009668CE" w:rsidP="00E20515">
      <w:pPr>
        <w:tabs>
          <w:tab w:val="left" w:pos="709"/>
        </w:tabs>
        <w:ind w:left="142" w:right="89" w:firstLine="567"/>
        <w:jc w:val="both"/>
        <w:rPr>
          <w:b w:val="0"/>
          <w:szCs w:val="28"/>
        </w:rPr>
      </w:pPr>
    </w:p>
    <w:p w:rsidR="009668CE" w:rsidRPr="00985791" w:rsidRDefault="009668CE" w:rsidP="00E20515">
      <w:pPr>
        <w:tabs>
          <w:tab w:val="left" w:pos="709"/>
        </w:tabs>
        <w:ind w:left="142" w:right="89" w:firstLine="567"/>
        <w:jc w:val="both"/>
        <w:rPr>
          <w:b w:val="0"/>
          <w:szCs w:val="28"/>
        </w:rPr>
      </w:pPr>
      <w:r w:rsidRPr="009668CE">
        <w:rPr>
          <w:b w:val="0"/>
          <w:szCs w:val="28"/>
        </w:rPr>
        <w:t>Розділи VI, VII вважати відповідно розділами V, VI.</w:t>
      </w:r>
    </w:p>
    <w:p w:rsidR="00E70C20" w:rsidRDefault="00E70C20" w:rsidP="00985791">
      <w:pPr>
        <w:tabs>
          <w:tab w:val="left" w:pos="709"/>
        </w:tabs>
        <w:jc w:val="both"/>
        <w:rPr>
          <w:b w:val="0"/>
          <w:sz w:val="24"/>
          <w:szCs w:val="24"/>
        </w:rPr>
      </w:pPr>
    </w:p>
    <w:p w:rsidR="00E70C20" w:rsidRDefault="00E70C20" w:rsidP="00B60A04">
      <w:pPr>
        <w:jc w:val="both"/>
        <w:rPr>
          <w:b w:val="0"/>
          <w:sz w:val="24"/>
          <w:szCs w:val="24"/>
        </w:rPr>
      </w:pPr>
    </w:p>
    <w:p w:rsidR="00B60A04" w:rsidRDefault="00B60A04" w:rsidP="00B60A04">
      <w:pPr>
        <w:jc w:val="both"/>
        <w:rPr>
          <w:b w:val="0"/>
          <w:sz w:val="24"/>
          <w:szCs w:val="24"/>
        </w:rPr>
      </w:pPr>
      <w:r>
        <w:rPr>
          <w:b w:val="0"/>
          <w:sz w:val="24"/>
          <w:szCs w:val="24"/>
        </w:rPr>
        <w:t xml:space="preserve">    </w:t>
      </w:r>
      <w:r w:rsidRPr="008566A9">
        <w:rPr>
          <w:b w:val="0"/>
          <w:sz w:val="24"/>
          <w:szCs w:val="24"/>
        </w:rPr>
        <w:t>_________</w:t>
      </w:r>
      <w:r w:rsidR="00E70C20">
        <w:rPr>
          <w:b w:val="0"/>
          <w:sz w:val="24"/>
          <w:szCs w:val="24"/>
        </w:rPr>
        <w:t>____</w:t>
      </w:r>
      <w:r w:rsidR="001875E0">
        <w:rPr>
          <w:b w:val="0"/>
          <w:sz w:val="24"/>
          <w:szCs w:val="24"/>
        </w:rPr>
        <w:t xml:space="preserve">  Михайлик Т.О</w:t>
      </w:r>
      <w:r w:rsidRPr="008566A9">
        <w:rPr>
          <w:b w:val="0"/>
          <w:sz w:val="24"/>
          <w:szCs w:val="24"/>
        </w:rPr>
        <w:t>.</w:t>
      </w:r>
    </w:p>
    <w:p w:rsidR="00016BF1" w:rsidRPr="00755D9D" w:rsidRDefault="00016BF1" w:rsidP="00755D9D">
      <w:pPr>
        <w:jc w:val="both"/>
        <w:rPr>
          <w:b w:val="0"/>
          <w:sz w:val="24"/>
          <w:szCs w:val="24"/>
        </w:rPr>
      </w:pPr>
    </w:p>
    <w:sectPr w:rsidR="00016BF1" w:rsidRPr="00755D9D" w:rsidSect="00061064">
      <w:pgSz w:w="16838" w:h="11906" w:orient="landscape"/>
      <w:pgMar w:top="720" w:right="720" w:bottom="720" w:left="720"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E76"/>
    <w:multiLevelType w:val="hybridMultilevel"/>
    <w:tmpl w:val="C9426EB0"/>
    <w:lvl w:ilvl="0" w:tplc="566E399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CD46D5"/>
    <w:multiLevelType w:val="hybridMultilevel"/>
    <w:tmpl w:val="8E748A8E"/>
    <w:lvl w:ilvl="0" w:tplc="C8CCDB02">
      <w:start w:val="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08AA07FC"/>
    <w:multiLevelType w:val="hybridMultilevel"/>
    <w:tmpl w:val="2B3870CC"/>
    <w:lvl w:ilvl="0" w:tplc="1B96B8E2">
      <w:start w:val="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15:restartNumberingAfterBreak="0">
    <w:nsid w:val="0CB641B9"/>
    <w:multiLevelType w:val="hybridMultilevel"/>
    <w:tmpl w:val="E88279C4"/>
    <w:lvl w:ilvl="0" w:tplc="26AE4B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F34AE"/>
    <w:multiLevelType w:val="hybridMultilevel"/>
    <w:tmpl w:val="A3905E14"/>
    <w:lvl w:ilvl="0" w:tplc="6C94F2E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F4417F"/>
    <w:multiLevelType w:val="hybridMultilevel"/>
    <w:tmpl w:val="AA589388"/>
    <w:lvl w:ilvl="0" w:tplc="9A2C2B26">
      <w:start w:val="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50A1643A"/>
    <w:multiLevelType w:val="hybridMultilevel"/>
    <w:tmpl w:val="30A48A92"/>
    <w:lvl w:ilvl="0" w:tplc="A3D4AD5C">
      <w:start w:val="2"/>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7" w15:restartNumberingAfterBreak="0">
    <w:nsid w:val="60531314"/>
    <w:multiLevelType w:val="hybridMultilevel"/>
    <w:tmpl w:val="CB8AF73A"/>
    <w:lvl w:ilvl="0" w:tplc="6F4659A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6E181F"/>
    <w:multiLevelType w:val="hybridMultilevel"/>
    <w:tmpl w:val="573873C2"/>
    <w:lvl w:ilvl="0" w:tplc="1A34A5BA">
      <w:start w:val="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15:restartNumberingAfterBreak="0">
    <w:nsid w:val="79F16CDD"/>
    <w:multiLevelType w:val="hybridMultilevel"/>
    <w:tmpl w:val="35D6C2C4"/>
    <w:lvl w:ilvl="0" w:tplc="C0DE81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3"/>
  </w:num>
  <w:num w:numId="5">
    <w:abstractNumId w:val="5"/>
  </w:num>
  <w:num w:numId="6">
    <w:abstractNumId w:val="2"/>
  </w:num>
  <w:num w:numId="7">
    <w:abstractNumId w:val="8"/>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AA"/>
    <w:rsid w:val="00016BF1"/>
    <w:rsid w:val="000273BF"/>
    <w:rsid w:val="00061064"/>
    <w:rsid w:val="00156B5F"/>
    <w:rsid w:val="001875E0"/>
    <w:rsid w:val="002500AA"/>
    <w:rsid w:val="00282833"/>
    <w:rsid w:val="00284B20"/>
    <w:rsid w:val="002B5EB5"/>
    <w:rsid w:val="00337B03"/>
    <w:rsid w:val="00342768"/>
    <w:rsid w:val="0039346C"/>
    <w:rsid w:val="003A3368"/>
    <w:rsid w:val="003D07AA"/>
    <w:rsid w:val="003E4CB6"/>
    <w:rsid w:val="004038EA"/>
    <w:rsid w:val="004317F8"/>
    <w:rsid w:val="00433D96"/>
    <w:rsid w:val="004613D7"/>
    <w:rsid w:val="004B4CB7"/>
    <w:rsid w:val="005B3BDE"/>
    <w:rsid w:val="00691CE8"/>
    <w:rsid w:val="00696291"/>
    <w:rsid w:val="006F0EB6"/>
    <w:rsid w:val="007449EB"/>
    <w:rsid w:val="007536E7"/>
    <w:rsid w:val="00755D9D"/>
    <w:rsid w:val="007C1769"/>
    <w:rsid w:val="007E3450"/>
    <w:rsid w:val="008019C7"/>
    <w:rsid w:val="008566A9"/>
    <w:rsid w:val="00873202"/>
    <w:rsid w:val="00887A48"/>
    <w:rsid w:val="008B7DB1"/>
    <w:rsid w:val="00937BAA"/>
    <w:rsid w:val="009668CE"/>
    <w:rsid w:val="00985791"/>
    <w:rsid w:val="009A0F24"/>
    <w:rsid w:val="00A434D8"/>
    <w:rsid w:val="00AC3BB5"/>
    <w:rsid w:val="00B43EE7"/>
    <w:rsid w:val="00B45EB8"/>
    <w:rsid w:val="00B60A04"/>
    <w:rsid w:val="00BA2B0A"/>
    <w:rsid w:val="00BB57BA"/>
    <w:rsid w:val="00BC19A3"/>
    <w:rsid w:val="00BE2447"/>
    <w:rsid w:val="00BF36B0"/>
    <w:rsid w:val="00C4534E"/>
    <w:rsid w:val="00CD68CE"/>
    <w:rsid w:val="00D24C40"/>
    <w:rsid w:val="00DE3A78"/>
    <w:rsid w:val="00E20515"/>
    <w:rsid w:val="00E31029"/>
    <w:rsid w:val="00E70C20"/>
    <w:rsid w:val="00ED7F35"/>
    <w:rsid w:val="00F0003B"/>
    <w:rsid w:val="00F30FDC"/>
    <w:rsid w:val="00F84AD4"/>
    <w:rsid w:val="00F97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5750"/>
  <w15:docId w15:val="{E3876855-8DAD-4E41-8FA0-2A0BA6F4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0AA"/>
    <w:pPr>
      <w:spacing w:after="0" w:line="240" w:lineRule="auto"/>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34E"/>
    <w:pPr>
      <w:ind w:left="720"/>
      <w:contextualSpacing/>
    </w:pPr>
  </w:style>
  <w:style w:type="paragraph" w:styleId="a4">
    <w:name w:val="Balloon Text"/>
    <w:basedOn w:val="a"/>
    <w:link w:val="a5"/>
    <w:uiPriority w:val="99"/>
    <w:semiHidden/>
    <w:unhideWhenUsed/>
    <w:rsid w:val="00016BF1"/>
    <w:rPr>
      <w:rFonts w:ascii="Segoe UI" w:hAnsi="Segoe UI" w:cs="Segoe UI"/>
      <w:sz w:val="18"/>
      <w:szCs w:val="18"/>
    </w:rPr>
  </w:style>
  <w:style w:type="character" w:customStyle="1" w:styleId="a5">
    <w:name w:val="Текст выноски Знак"/>
    <w:basedOn w:val="a0"/>
    <w:link w:val="a4"/>
    <w:uiPriority w:val="99"/>
    <w:semiHidden/>
    <w:rsid w:val="00016BF1"/>
    <w:rPr>
      <w:rFonts w:ascii="Segoe UI" w:eastAsia="Times New Roman" w:hAnsi="Segoe UI" w:cs="Segoe UI"/>
      <w:b/>
      <w:sz w:val="18"/>
      <w:szCs w:val="18"/>
      <w:lang w:val="uk-UA" w:eastAsia="ru-RU"/>
    </w:rPr>
  </w:style>
  <w:style w:type="table" w:styleId="a6">
    <w:name w:val="Table Grid"/>
    <w:basedOn w:val="a1"/>
    <w:uiPriority w:val="59"/>
    <w:rsid w:val="00016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Зозуля Юлія Вікторівна</cp:lastModifiedBy>
  <cp:revision>8</cp:revision>
  <cp:lastPrinted>2019-09-18T08:16:00Z</cp:lastPrinted>
  <dcterms:created xsi:type="dcterms:W3CDTF">2019-10-18T12:10:00Z</dcterms:created>
  <dcterms:modified xsi:type="dcterms:W3CDTF">2019-10-24T07:24:00Z</dcterms:modified>
</cp:coreProperties>
</file>