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305AB3" w:rsidRPr="00305AB3" w:rsidTr="007C49C4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E52A0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DE52A0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DE52A0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7C49C4">
              <w:rPr>
                <w:sz w:val="28"/>
                <w:szCs w:val="28"/>
                <w:lang w:val="uk-UA"/>
              </w:rPr>
              <w:t>Біотехнік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7C49C4">
              <w:rPr>
                <w:sz w:val="28"/>
                <w:szCs w:val="28"/>
                <w:lang w:val="uk-UA"/>
              </w:rPr>
              <w:t>вул.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7C49C4">
              <w:rPr>
                <w:sz w:val="28"/>
                <w:szCs w:val="28"/>
                <w:lang w:val="uk-UA"/>
              </w:rPr>
              <w:t>Петропавлівська, 68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25826">
        <w:rPr>
          <w:sz w:val="28"/>
          <w:szCs w:val="28"/>
          <w:lang w:val="uk-UA"/>
        </w:rPr>
        <w:t xml:space="preserve">24.10.2019 </w:t>
      </w:r>
      <w:r>
        <w:rPr>
          <w:sz w:val="28"/>
          <w:szCs w:val="28"/>
          <w:lang w:val="uk-UA"/>
        </w:rPr>
        <w:t xml:space="preserve">№ </w:t>
      </w:r>
      <w:r w:rsidR="00F25826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EF3DBA">
        <w:rPr>
          <w:sz w:val="28"/>
          <w:szCs w:val="28"/>
          <w:lang w:val="uk-UA"/>
        </w:rPr>
        <w:t>ураховуючи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F25826">
        <w:rPr>
          <w:sz w:val="28"/>
          <w:szCs w:val="28"/>
          <w:lang w:val="uk-UA"/>
        </w:rPr>
        <w:t xml:space="preserve"> 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7C49C4">
        <w:rPr>
          <w:sz w:val="28"/>
          <w:szCs w:val="28"/>
          <w:lang w:val="uk-UA"/>
        </w:rPr>
        <w:t>Біотехнік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7C49C4">
        <w:rPr>
          <w:sz w:val="28"/>
          <w:szCs w:val="28"/>
          <w:lang w:val="uk-UA"/>
        </w:rPr>
        <w:t>Біотехнік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7C49C4">
        <w:rPr>
          <w:sz w:val="28"/>
          <w:szCs w:val="28"/>
          <w:lang w:val="uk-UA"/>
        </w:rPr>
        <w:t>Петропавлівська, 68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09" w:tblpY="1"/>
        <w:tblOverlap w:val="never"/>
        <w:tblW w:w="4832" w:type="pct"/>
        <w:tblLayout w:type="fixed"/>
        <w:tblLook w:val="0000" w:firstRow="0" w:lastRow="0" w:firstColumn="0" w:lastColumn="0" w:noHBand="0" w:noVBand="0"/>
      </w:tblPr>
      <w:tblGrid>
        <w:gridCol w:w="534"/>
        <w:gridCol w:w="3434"/>
        <w:gridCol w:w="5248"/>
        <w:gridCol w:w="1984"/>
        <w:gridCol w:w="2126"/>
        <w:gridCol w:w="1841"/>
      </w:tblGrid>
      <w:tr w:rsidR="00F25826" w:rsidRPr="004F580C" w:rsidTr="00F25826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DB3632" w:rsidRDefault="00F25826" w:rsidP="00F2582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25826" w:rsidRPr="00DB3632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25826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26" w:rsidRPr="00862403" w:rsidRDefault="00F25826" w:rsidP="00F25826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25826" w:rsidRPr="004F580C" w:rsidTr="00F25826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6" w:rsidRPr="004F580C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5826" w:rsidRPr="00C851EF" w:rsidTr="00F25826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2" w:type="pct"/>
            <w:shd w:val="clear" w:color="auto" w:fill="auto"/>
          </w:tcPr>
          <w:p w:rsidR="00F25826" w:rsidRDefault="00F25826" w:rsidP="00F2582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«Біотехнік»,</w:t>
            </w:r>
          </w:p>
          <w:p w:rsidR="00F25826" w:rsidRDefault="00F25826" w:rsidP="00F2582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14003373</w:t>
            </w:r>
          </w:p>
          <w:p w:rsidR="00F25826" w:rsidRPr="005E59E5" w:rsidRDefault="00F25826" w:rsidP="00F25826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0" w:type="pct"/>
            <w:shd w:val="clear" w:color="auto" w:fill="auto"/>
          </w:tcPr>
          <w:p w:rsidR="00F25826" w:rsidRPr="007E0EE1" w:rsidRDefault="00F25826" w:rsidP="00F25826">
            <w:pPr>
              <w:rPr>
                <w:sz w:val="28"/>
                <w:szCs w:val="28"/>
                <w:lang w:val="uk-UA"/>
              </w:rPr>
            </w:pPr>
            <w:r w:rsidRPr="007E0EE1">
              <w:rPr>
                <w:sz w:val="28"/>
                <w:szCs w:val="28"/>
                <w:lang w:val="uk-UA"/>
              </w:rPr>
              <w:t>Під розміщеним складським приміщенням</w:t>
            </w:r>
          </w:p>
          <w:p w:rsidR="00F25826" w:rsidRPr="00F44427" w:rsidRDefault="00F25826" w:rsidP="00F2582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Петропавлівська, 68</w:t>
            </w:r>
          </w:p>
          <w:p w:rsidR="00F25826" w:rsidRPr="00F44427" w:rsidRDefault="00F25826" w:rsidP="00F2582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</w:p>
          <w:p w:rsidR="00F25826" w:rsidRPr="00F44427" w:rsidRDefault="00F25826" w:rsidP="00F25826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1F5C78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1F5C78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1F5C78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</w:t>
            </w:r>
            <w:r>
              <w:rPr>
                <w:sz w:val="28"/>
                <w:szCs w:val="28"/>
                <w:lang w:val="uk-UA"/>
              </w:rPr>
              <w:t>об’єкта</w:t>
            </w:r>
            <w:r w:rsidRPr="001F5C78">
              <w:rPr>
                <w:sz w:val="28"/>
                <w:szCs w:val="28"/>
                <w:lang w:val="uk-UA"/>
              </w:rPr>
              <w:t xml:space="preserve">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1852076900 від 18.10</w:t>
            </w:r>
            <w:r w:rsidRPr="001F5C78"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  <w:lang w:val="uk-UA"/>
              </w:rPr>
              <w:t>, реєстраційні номери майна: 4548889, 4588481)</w:t>
            </w:r>
          </w:p>
        </w:tc>
        <w:tc>
          <w:tcPr>
            <w:tcW w:w="654" w:type="pct"/>
            <w:shd w:val="clear" w:color="auto" w:fill="auto"/>
          </w:tcPr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11/100 </w:t>
            </w:r>
          </w:p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0,2221</w:t>
            </w:r>
          </w:p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01" w:type="pct"/>
            <w:shd w:val="clear" w:color="auto" w:fill="auto"/>
          </w:tcPr>
          <w:p w:rsidR="00F25826" w:rsidRPr="000B674F" w:rsidRDefault="00F25826" w:rsidP="00F25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F25826" w:rsidRDefault="00F25826" w:rsidP="00F25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0D6AC8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1D5D"/>
    <w:rsid w:val="000D6401"/>
    <w:rsid w:val="000D64A1"/>
    <w:rsid w:val="000D6AC8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B7C1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C49C4"/>
    <w:rsid w:val="007E0EE1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8F46FE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2CEC"/>
    <w:rsid w:val="009C72FC"/>
    <w:rsid w:val="009D2FB6"/>
    <w:rsid w:val="00A13D13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05D2A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51EF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DE52A0"/>
    <w:rsid w:val="00E0326B"/>
    <w:rsid w:val="00E062EE"/>
    <w:rsid w:val="00E20892"/>
    <w:rsid w:val="00E24076"/>
    <w:rsid w:val="00E5090C"/>
    <w:rsid w:val="00E87030"/>
    <w:rsid w:val="00E95DDE"/>
    <w:rsid w:val="00E95ECB"/>
    <w:rsid w:val="00EA3EB1"/>
    <w:rsid w:val="00EA4E95"/>
    <w:rsid w:val="00EC1E2D"/>
    <w:rsid w:val="00EE4A58"/>
    <w:rsid w:val="00EF3DBA"/>
    <w:rsid w:val="00EF584D"/>
    <w:rsid w:val="00F15225"/>
    <w:rsid w:val="00F25826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8CE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B020-A3CF-4523-A54E-C5E211DC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2019-10-30T06:05:00Z</cp:lastPrinted>
  <dcterms:created xsi:type="dcterms:W3CDTF">2019-10-30T06:00:00Z</dcterms:created>
  <dcterms:modified xsi:type="dcterms:W3CDTF">2019-10-30T06:07:00Z</dcterms:modified>
</cp:coreProperties>
</file>