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FD" w:rsidRDefault="00226575">
      <w:pPr>
        <w:widowControl w:val="0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BF1EFD">
        <w:trPr>
          <w:trHeight w:val="1060"/>
        </w:trPr>
        <w:tc>
          <w:tcPr>
            <w:tcW w:w="4253" w:type="dxa"/>
          </w:tcPr>
          <w:p w:rsidR="00BF1EFD" w:rsidRDefault="00BF1EFD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EFD" w:rsidRDefault="0022657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F1EFD" w:rsidRDefault="0022657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BF1EFD" w:rsidRDefault="0022657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“__” __________ 20__ р.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BF1EFD" w:rsidRDefault="00BF1EFD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F1EFD" w:rsidRDefault="00226575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BF1EFD" w:rsidRDefault="00226575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VІІ СКЛИКАННЯ_____СЕСІЯ</w:t>
      </w:r>
    </w:p>
    <w:p w:rsidR="00BF1EFD" w:rsidRDefault="002265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BF1EFD" w:rsidRDefault="00BF1E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F1EFD" w:rsidRDefault="00BF1E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F1EFD" w:rsidRDefault="00BF1E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BF1EFD">
        <w:tc>
          <w:tcPr>
            <w:tcW w:w="5070" w:type="dxa"/>
          </w:tcPr>
          <w:p w:rsidR="00BF1EFD" w:rsidRDefault="00226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 _________ 20__ року № ____- МР</w:t>
            </w:r>
          </w:p>
          <w:p w:rsidR="00BF1EFD" w:rsidRDefault="002265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BF1EFD">
        <w:tc>
          <w:tcPr>
            <w:tcW w:w="5070" w:type="dxa"/>
          </w:tcPr>
          <w:p w:rsidR="00BF1EFD" w:rsidRDefault="00BF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EFD">
        <w:tc>
          <w:tcPr>
            <w:tcW w:w="5070" w:type="dxa"/>
          </w:tcPr>
          <w:p w:rsidR="00BF1EFD" w:rsidRDefault="00226575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1EFD" w:rsidRDefault="00BF1EFD">
      <w:pPr>
        <w:tabs>
          <w:tab w:val="left" w:pos="851"/>
        </w:tabs>
        <w:spacing w:line="240" w:lineRule="auto"/>
        <w:ind w:firstLine="709"/>
        <w:jc w:val="both"/>
      </w:pPr>
    </w:p>
    <w:p w:rsidR="00BF1EFD" w:rsidRDefault="002265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привабливого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6246 - МР, з метою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№ 6247 -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</w:p>
    <w:p w:rsidR="00BF1EFD" w:rsidRDefault="0022657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1EFD" w:rsidRDefault="00226575">
      <w:pPr>
        <w:widowControl w:val="0"/>
        <w:shd w:val="clear" w:color="auto" w:fill="FDFDF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BF1EFD" w:rsidRDefault="00226575">
      <w:pPr>
        <w:widowControl w:val="0"/>
        <w:shd w:val="clear" w:color="auto" w:fill="FDFDF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бренду.</w:t>
      </w:r>
    </w:p>
    <w:p w:rsidR="00BF1EFD" w:rsidRDefault="00226575">
      <w:pPr>
        <w:widowControl w:val="0"/>
        <w:spacing w:before="43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О.М.).</w:t>
      </w:r>
    </w:p>
    <w:p w:rsidR="00226575" w:rsidRDefault="0022657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1EFD" w:rsidRDefault="00BF1EFD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widowControl w:val="0"/>
        <w:spacing w:before="38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    О.М. Лисенко </w:t>
      </w:r>
    </w:p>
    <w:p w:rsidR="00BF1EFD" w:rsidRDefault="00BF1EF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EFD" w:rsidRDefault="0022657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</w:p>
    <w:p w:rsidR="00BF1EFD" w:rsidRDefault="00BF1EF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EFD" w:rsidRDefault="0022657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Ініціатор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голова. </w:t>
      </w:r>
    </w:p>
    <w:p w:rsidR="00BF1EFD" w:rsidRDefault="0022657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ради. </w:t>
      </w:r>
    </w:p>
    <w:p w:rsidR="00BF1EFD" w:rsidRDefault="0022657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ради.</w:t>
      </w:r>
      <w:r>
        <w:br w:type="page"/>
      </w:r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ПОГОДЖЕННЯ</w:t>
      </w:r>
    </w:p>
    <w:p w:rsidR="00BF1EFD" w:rsidRDefault="0022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BF1EFD" w:rsidRDefault="0022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EFD" w:rsidRDefault="00BF1E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BF1EFD" w:rsidRDefault="00226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BF1EFD" w:rsidRDefault="00BF1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EFD" w:rsidRDefault="00BF1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Баранов</w:t>
      </w:r>
    </w:p>
    <w:p w:rsidR="00BF1EFD" w:rsidRDefault="00BF1E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EFD" w:rsidRDefault="00226575">
      <w:pPr>
        <w:shd w:val="clear" w:color="auto" w:fill="FFFFFF"/>
        <w:spacing w:after="16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F1EFD" w:rsidRDefault="00226575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BF1EFD" w:rsidRDefault="002265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BF1EFD" w:rsidRDefault="002265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</w:p>
    <w:p w:rsidR="00BF1EFD" w:rsidRDefault="002265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1EFD" w:rsidRDefault="002265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 №__ -МР</w:t>
      </w:r>
    </w:p>
    <w:p w:rsidR="00BF1EFD" w:rsidRDefault="00BF1EFD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Суми</w:t>
      </w:r>
      <w:proofErr w:type="spellEnd"/>
    </w:p>
    <w:p w:rsidR="00BF1EFD" w:rsidRDefault="00BF1E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фінансові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офіційній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стилістику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ради.</w:t>
      </w: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рекламу», «Про туризм»,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 на знаки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Бренд).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поширює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1EFD" w:rsidRDefault="002265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бренд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правильному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офіційна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промоційна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BF1EFD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та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1EFD" w:rsidRDefault="002265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Бренду;</w:t>
      </w:r>
    </w:p>
    <w:p w:rsidR="00BF1EFD" w:rsidRDefault="002265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BF1EFD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FD" w:rsidRDefault="00BF1EFD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В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тезу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Бренду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повсякденне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Бренду, говорить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Логотип: </w:t>
      </w:r>
    </w:p>
    <w:p w:rsidR="00BF1EFD" w:rsidRDefault="002265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 -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“не 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поверхнево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”; </w:t>
      </w:r>
    </w:p>
    <w:p w:rsidR="00BF1EFD" w:rsidRDefault="002265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логотипу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крапки-щастинки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логотипі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1EFD" w:rsidRDefault="002265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кирилицею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1EFD" w:rsidRDefault="002265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латиницею: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257175</wp:posOffset>
            </wp:positionV>
            <wp:extent cx="3217456" cy="790575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20608" t="42955" r="19966" b="43645"/>
                    <a:stretch>
                      <a:fillRect/>
                    </a:stretch>
                  </pic:blipFill>
                  <pic:spPr>
                    <a:xfrm>
                      <a:off x="0" y="0"/>
                      <a:ext cx="321745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200025</wp:posOffset>
            </wp:positionV>
            <wp:extent cx="3057525" cy="790575"/>
            <wp:effectExtent l="0" t="0" r="0" b="0"/>
            <wp:wrapTopAndBottom distT="114300" distB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20918" t="44044" r="25720" b="4302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(CMYK 0 0 0 0, RGB 255 255 255, HEX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ffffff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3125 C, CMYK 75 5 21 0, RGB 0 175 200, HEX #00afc8),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оптимістичний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123 C, CMYK 0 18 80 0, RGB 25521062, HEX #ffd23e),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шляхетний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смарагдов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323 C, CMYK 92 52 55 57, RGB 2 57 62, HEX #02393e),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288 C, CMYK 100 87 40 30, RGB 5 40 90, HEX #05285a),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1787 C, CMYK 0 95 65 0, RGB 230 30 65, HEX #e61e41),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C, CMYK 0 0 0 1</w:t>
      </w:r>
      <w:r>
        <w:rPr>
          <w:rFonts w:ascii="Times New Roman" w:eastAsia="Times New Roman" w:hAnsi="Times New Roman" w:cs="Times New Roman"/>
          <w:sz w:val="28"/>
          <w:szCs w:val="28"/>
        </w:rPr>
        <w:t>00, RGB 29 29 29, HEX #1d1d1d).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Regular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рядкові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прописні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величиною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детально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(логотипу, слогану,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шрифтів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разом,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«о» та «е»,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об'єднати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Два напрямки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всебічно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</w:t>
      </w:r>
      <w:r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свободу,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олодко-ц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истецтві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множує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спіх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F1EFD" w:rsidRDefault="00BF1EFD">
      <w:pPr>
        <w:shd w:val="clear" w:color="auto" w:fill="FFFFFF"/>
        <w:spacing w:line="240" w:lineRule="auto"/>
        <w:ind w:left="720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6D7A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макетів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BF1EFD" w:rsidRDefault="002265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макет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скриньку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pmo@smr.gov.ua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BF1EFD" w:rsidRDefault="002265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макету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урочистих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церемоній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фестивалі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грамотах,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сувенірній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поліграфічній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навігації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вивісках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афішах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EFD" w:rsidRDefault="002265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https://cutt.ly/Ar3uXR7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гарнітуру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Бренд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дискредитують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EFD" w:rsidRDefault="00BF1E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575" w:rsidRDefault="0022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публікується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BF1EFD" w:rsidRDefault="00BF1E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226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О.М. Лисенко</w:t>
      </w:r>
    </w:p>
    <w:p w:rsidR="00BF1EFD" w:rsidRDefault="00BF1EFD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EFD" w:rsidRDefault="002265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</w:t>
      </w:r>
    </w:p>
    <w:p w:rsidR="00BF1EFD" w:rsidRDefault="00BF1EFD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1EFD">
      <w:pgSz w:w="11909" w:h="16834"/>
      <w:pgMar w:top="566" w:right="566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7AE"/>
    <w:multiLevelType w:val="multilevel"/>
    <w:tmpl w:val="D7206C4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5E4858"/>
    <w:multiLevelType w:val="multilevel"/>
    <w:tmpl w:val="4A3A0FF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A52E2"/>
    <w:multiLevelType w:val="multilevel"/>
    <w:tmpl w:val="E87686E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6E1E3B"/>
    <w:multiLevelType w:val="multilevel"/>
    <w:tmpl w:val="00B69A8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FD"/>
    <w:rsid w:val="00226575"/>
    <w:rsid w:val="00B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A28F"/>
  <w15:docId w15:val="{82525F0D-D4DD-418E-91CB-0090B1F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Ar3uX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Тетяна Дмитрівна</dc:creator>
  <cp:lastModifiedBy>Закревська Тетяна Дмитрівна</cp:lastModifiedBy>
  <cp:revision>2</cp:revision>
  <dcterms:created xsi:type="dcterms:W3CDTF">2020-02-25T13:19:00Z</dcterms:created>
  <dcterms:modified xsi:type="dcterms:W3CDTF">2020-02-25T13:19:00Z</dcterms:modified>
</cp:coreProperties>
</file>