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0C353F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0B2FFE">
              <w:rPr>
                <w:sz w:val="28"/>
                <w:szCs w:val="28"/>
                <w:lang w:val="uk-UA"/>
              </w:rPr>
              <w:t>Про</w:t>
            </w:r>
            <w:r w:rsidR="007933DF">
              <w:rPr>
                <w:sz w:val="28"/>
                <w:szCs w:val="28"/>
                <w:lang w:val="uk-UA"/>
              </w:rPr>
              <w:t>є</w:t>
            </w:r>
            <w:r w:rsidRPr="000B2FFE">
              <w:rPr>
                <w:sz w:val="28"/>
                <w:szCs w:val="28"/>
                <w:lang w:val="uk-UA"/>
              </w:rPr>
              <w:t>кт</w:t>
            </w:r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</w:t>
            </w:r>
            <w:r w:rsidR="0046167C">
              <w:rPr>
                <w:sz w:val="28"/>
                <w:szCs w:val="28"/>
                <w:shd w:val="clear" w:color="auto" w:fill="FEFEFE"/>
              </w:rPr>
              <w:t>20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C75C5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            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 </w:t>
      </w:r>
      <w:r w:rsidR="007E3533">
        <w:rPr>
          <w:sz w:val="28"/>
          <w:szCs w:val="28"/>
        </w:rPr>
        <w:t xml:space="preserve">  20</w:t>
      </w:r>
      <w:r w:rsidR="0046167C">
        <w:rPr>
          <w:sz w:val="28"/>
          <w:szCs w:val="28"/>
        </w:rPr>
        <w:t>20</w:t>
      </w:r>
      <w:r w:rsidR="000C353F" w:rsidRPr="00DC33EE">
        <w:rPr>
          <w:sz w:val="28"/>
          <w:szCs w:val="28"/>
        </w:rPr>
        <w:t xml:space="preserve"> року № </w:t>
      </w:r>
      <w:r>
        <w:rPr>
          <w:sz w:val="28"/>
          <w:szCs w:val="28"/>
          <w:lang w:val="en-US"/>
        </w:rPr>
        <w:t xml:space="preserve">     </w:t>
      </w:r>
      <w:r w:rsidR="000C353F">
        <w:rPr>
          <w:sz w:val="28"/>
          <w:szCs w:val="28"/>
        </w:rPr>
        <w:t xml:space="preserve">    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58253E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58253E" w:rsidRDefault="000C353F" w:rsidP="0058253E">
            <w:pPr>
              <w:jc w:val="both"/>
              <w:rPr>
                <w:sz w:val="28"/>
                <w:szCs w:val="28"/>
              </w:rPr>
            </w:pPr>
            <w:r w:rsidRPr="0058253E">
              <w:rPr>
                <w:sz w:val="28"/>
                <w:szCs w:val="28"/>
              </w:rPr>
              <w:t xml:space="preserve">Про </w:t>
            </w:r>
            <w:r w:rsidR="0058253E" w:rsidRPr="0058253E">
              <w:rPr>
                <w:sz w:val="28"/>
                <w:szCs w:val="28"/>
              </w:rPr>
              <w:t>надання учасникам АТО</w:t>
            </w:r>
            <w:r w:rsidRPr="0058253E">
              <w:rPr>
                <w:sz w:val="28"/>
                <w:szCs w:val="28"/>
              </w:rPr>
              <w:t xml:space="preserve"> дозволу на розроблення проектів землеустрою щодо відведення земельних ділянок </w:t>
            </w:r>
            <w:r w:rsidR="00D429D5" w:rsidRPr="0058253E">
              <w:rPr>
                <w:sz w:val="28"/>
                <w:szCs w:val="28"/>
              </w:rPr>
              <w:t xml:space="preserve">за адресою: м. Суми, </w:t>
            </w:r>
            <w:r w:rsidR="0058253E" w:rsidRPr="0058253E">
              <w:rPr>
                <w:sz w:val="28"/>
                <w:szCs w:val="28"/>
              </w:rPr>
              <w:t>вул. Леоніда Бикова, біля буд. № 6/1</w:t>
            </w:r>
          </w:p>
        </w:tc>
      </w:tr>
    </w:tbl>
    <w:p w:rsidR="000C353F" w:rsidRPr="0058253E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58253E" w:rsidRDefault="000C353F" w:rsidP="004600DE">
      <w:pPr>
        <w:ind w:firstLine="567"/>
        <w:jc w:val="both"/>
        <w:rPr>
          <w:b/>
          <w:sz w:val="28"/>
          <w:szCs w:val="28"/>
        </w:rPr>
      </w:pPr>
      <w:r w:rsidRPr="0058253E">
        <w:rPr>
          <w:sz w:val="28"/>
          <w:szCs w:val="28"/>
        </w:rPr>
        <w:t>Розглянувши звернення громадян, надані документи,</w:t>
      </w:r>
      <w:r w:rsidR="00724EA0" w:rsidRPr="0058253E">
        <w:rPr>
          <w:sz w:val="28"/>
          <w:szCs w:val="28"/>
        </w:rPr>
        <w:t xml:space="preserve"> </w:t>
      </w:r>
      <w:r w:rsidRPr="0058253E">
        <w:rPr>
          <w:sz w:val="28"/>
          <w:szCs w:val="28"/>
        </w:rPr>
        <w:t xml:space="preserve"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B05AA8" w:rsidRPr="0058253E">
        <w:rPr>
          <w:sz w:val="28"/>
          <w:szCs w:val="28"/>
        </w:rPr>
        <w:t>05.03.2020</w:t>
      </w:r>
      <w:r w:rsidR="00824FF9" w:rsidRPr="0058253E">
        <w:rPr>
          <w:sz w:val="28"/>
          <w:szCs w:val="28"/>
        </w:rPr>
        <w:t xml:space="preserve"> </w:t>
      </w:r>
      <w:r w:rsidR="00430893" w:rsidRPr="0058253E">
        <w:rPr>
          <w:sz w:val="28"/>
          <w:szCs w:val="28"/>
        </w:rPr>
        <w:t xml:space="preserve">№ </w:t>
      </w:r>
      <w:r w:rsidR="00B05AA8" w:rsidRPr="0058253E">
        <w:rPr>
          <w:sz w:val="28"/>
          <w:szCs w:val="28"/>
        </w:rPr>
        <w:t>187</w:t>
      </w:r>
      <w:r w:rsidR="004600DE" w:rsidRPr="0058253E">
        <w:rPr>
          <w:sz w:val="28"/>
          <w:szCs w:val="28"/>
        </w:rPr>
        <w:t xml:space="preserve"> </w:t>
      </w:r>
      <w:r w:rsidRPr="0058253E">
        <w:rPr>
          <w:sz w:val="28"/>
          <w:szCs w:val="28"/>
        </w:rPr>
        <w:t>та статей 12,</w:t>
      </w:r>
      <w:r w:rsidR="004B3EB4" w:rsidRPr="0058253E">
        <w:rPr>
          <w:sz w:val="28"/>
          <w:szCs w:val="28"/>
        </w:rPr>
        <w:t xml:space="preserve"> </w:t>
      </w:r>
      <w:r w:rsidRPr="0058253E">
        <w:rPr>
          <w:sz w:val="28"/>
          <w:szCs w:val="28"/>
        </w:rPr>
        <w:t>40, 79-1, 118, 121, 122 Земельного кодексу України, статті 50 За</w:t>
      </w:r>
      <w:r w:rsidR="00A14D44" w:rsidRPr="0058253E">
        <w:rPr>
          <w:sz w:val="28"/>
          <w:szCs w:val="28"/>
        </w:rPr>
        <w:t>кону України «Про землеустрій»</w:t>
      </w:r>
      <w:r w:rsidRPr="0058253E">
        <w:rPr>
          <w:sz w:val="28"/>
          <w:szCs w:val="28"/>
        </w:rPr>
        <w:t xml:space="preserve">, </w:t>
      </w:r>
      <w:r w:rsidR="0046167C" w:rsidRPr="0058253E">
        <w:rPr>
          <w:sz w:val="28"/>
          <w:szCs w:val="28"/>
        </w:rPr>
        <w:t xml:space="preserve">частини третьої статті 15 Закону України «Про доступ до публічної інформації», </w:t>
      </w:r>
      <w:r w:rsidRPr="0058253E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8253E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6A642D" w:rsidRPr="0058253E" w:rsidRDefault="0058253E" w:rsidP="004600DE">
      <w:pPr>
        <w:ind w:firstLine="567"/>
        <w:jc w:val="both"/>
        <w:rPr>
          <w:sz w:val="28"/>
          <w:szCs w:val="28"/>
        </w:rPr>
      </w:pPr>
      <w:r w:rsidRPr="0058253E">
        <w:rPr>
          <w:sz w:val="28"/>
          <w:szCs w:val="28"/>
        </w:rPr>
        <w:t>Надати учасникам АТО дозвіл</w:t>
      </w:r>
      <w:r w:rsidR="00876D59" w:rsidRPr="0058253E">
        <w:rPr>
          <w:sz w:val="28"/>
          <w:szCs w:val="28"/>
        </w:rPr>
        <w:t xml:space="preserve"> </w:t>
      </w:r>
      <w:r w:rsidR="000C353F" w:rsidRPr="0058253E">
        <w:rPr>
          <w:sz w:val="28"/>
          <w:szCs w:val="28"/>
        </w:rPr>
        <w:t>на розроблення проектів землеустрою щодо відведення земельних ділянок</w:t>
      </w:r>
      <w:r w:rsidR="0044408B" w:rsidRPr="0058253E">
        <w:rPr>
          <w:sz w:val="28"/>
          <w:szCs w:val="28"/>
        </w:rPr>
        <w:t xml:space="preserve"> у власність</w:t>
      </w:r>
      <w:r w:rsidR="0010335F" w:rsidRPr="0058253E">
        <w:rPr>
          <w:sz w:val="28"/>
          <w:szCs w:val="28"/>
        </w:rPr>
        <w:t xml:space="preserve"> </w:t>
      </w:r>
      <w:r w:rsidR="00D921F6" w:rsidRPr="0058253E">
        <w:rPr>
          <w:sz w:val="28"/>
          <w:szCs w:val="28"/>
        </w:rPr>
        <w:t xml:space="preserve">для </w:t>
      </w:r>
      <w:r w:rsidR="00A71421" w:rsidRPr="0058253E">
        <w:rPr>
          <w:sz w:val="28"/>
          <w:szCs w:val="28"/>
        </w:rPr>
        <w:t xml:space="preserve">будівництва </w:t>
      </w:r>
      <w:r w:rsidRPr="0058253E">
        <w:rPr>
          <w:sz w:val="28"/>
          <w:szCs w:val="28"/>
        </w:rPr>
        <w:t>індивідуальних гаражів</w:t>
      </w:r>
      <w:r w:rsidR="003546AD" w:rsidRPr="0058253E">
        <w:rPr>
          <w:sz w:val="28"/>
          <w:szCs w:val="28"/>
        </w:rPr>
        <w:t xml:space="preserve"> </w:t>
      </w:r>
      <w:r w:rsidR="00DA1F16" w:rsidRPr="0058253E">
        <w:rPr>
          <w:sz w:val="28"/>
          <w:szCs w:val="28"/>
        </w:rPr>
        <w:t>згідно з додатком</w:t>
      </w:r>
      <w:r w:rsidR="006A642D" w:rsidRPr="0058253E">
        <w:rPr>
          <w:sz w:val="28"/>
          <w:szCs w:val="28"/>
        </w:rPr>
        <w:t>.</w:t>
      </w:r>
    </w:p>
    <w:p w:rsidR="00584F8F" w:rsidRDefault="00584F8F" w:rsidP="00584F8F">
      <w:pPr>
        <w:ind w:right="-2"/>
        <w:rPr>
          <w:sz w:val="28"/>
          <w:szCs w:val="28"/>
        </w:rPr>
      </w:pPr>
    </w:p>
    <w:p w:rsidR="0058253E" w:rsidRDefault="0058253E" w:rsidP="00584F8F">
      <w:pPr>
        <w:ind w:right="-2"/>
        <w:rPr>
          <w:sz w:val="28"/>
          <w:szCs w:val="28"/>
        </w:rPr>
      </w:pPr>
    </w:p>
    <w:p w:rsidR="0058253E" w:rsidRDefault="0058253E" w:rsidP="00584F8F">
      <w:pPr>
        <w:ind w:right="-2"/>
        <w:rPr>
          <w:sz w:val="28"/>
          <w:szCs w:val="28"/>
        </w:rPr>
      </w:pPr>
    </w:p>
    <w:p w:rsidR="0058253E" w:rsidRPr="004C75C5" w:rsidRDefault="0058253E" w:rsidP="00584F8F">
      <w:pPr>
        <w:ind w:right="-2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      </w:t>
      </w:r>
      <w:r w:rsidR="004C75C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58253E" w:rsidRDefault="0058253E" w:rsidP="000C353F">
      <w:pPr>
        <w:jc w:val="both"/>
        <w:rPr>
          <w:sz w:val="24"/>
          <w:szCs w:val="24"/>
        </w:rPr>
      </w:pPr>
    </w:p>
    <w:p w:rsidR="0058253E" w:rsidRDefault="0058253E" w:rsidP="000C353F">
      <w:pPr>
        <w:jc w:val="both"/>
        <w:rPr>
          <w:sz w:val="24"/>
          <w:szCs w:val="24"/>
        </w:rPr>
      </w:pPr>
    </w:p>
    <w:p w:rsidR="0058253E" w:rsidRDefault="0058253E" w:rsidP="000C353F">
      <w:pPr>
        <w:jc w:val="both"/>
        <w:rPr>
          <w:sz w:val="24"/>
          <w:szCs w:val="24"/>
        </w:rPr>
      </w:pPr>
    </w:p>
    <w:p w:rsidR="0058253E" w:rsidRDefault="0058253E" w:rsidP="000C353F">
      <w:pPr>
        <w:jc w:val="both"/>
        <w:rPr>
          <w:sz w:val="24"/>
          <w:szCs w:val="24"/>
        </w:rPr>
      </w:pPr>
    </w:p>
    <w:p w:rsidR="0058253E" w:rsidRDefault="0058253E" w:rsidP="000C353F">
      <w:pPr>
        <w:jc w:val="both"/>
        <w:rPr>
          <w:sz w:val="24"/>
          <w:szCs w:val="24"/>
        </w:rPr>
      </w:pPr>
    </w:p>
    <w:p w:rsidR="000C353F" w:rsidRPr="004C75C5" w:rsidRDefault="000C353F" w:rsidP="000C353F">
      <w:pPr>
        <w:ind w:right="174"/>
        <w:jc w:val="both"/>
        <w:rPr>
          <w:sz w:val="22"/>
          <w:szCs w:val="22"/>
        </w:rPr>
      </w:pPr>
      <w:r w:rsidRPr="004C75C5">
        <w:rPr>
          <w:sz w:val="22"/>
          <w:szCs w:val="22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C353F" w:rsidRPr="004C75C5" w:rsidRDefault="000C353F" w:rsidP="000C353F">
      <w:pPr>
        <w:ind w:right="174"/>
        <w:jc w:val="both"/>
        <w:rPr>
          <w:sz w:val="22"/>
          <w:szCs w:val="22"/>
        </w:rPr>
      </w:pPr>
      <w:r w:rsidRPr="004C75C5">
        <w:rPr>
          <w:sz w:val="22"/>
          <w:szCs w:val="22"/>
        </w:rPr>
        <w:t>Про</w:t>
      </w:r>
      <w:r w:rsidR="007933DF">
        <w:rPr>
          <w:sz w:val="22"/>
          <w:szCs w:val="22"/>
        </w:rPr>
        <w:t>є</w:t>
      </w:r>
      <w:r w:rsidRPr="004C75C5">
        <w:rPr>
          <w:sz w:val="22"/>
          <w:szCs w:val="22"/>
        </w:rPr>
        <w:t>кт рішення підготовлено департаментом забезпечення ресурсних платежів Сумської міської ради.</w:t>
      </w:r>
    </w:p>
    <w:p w:rsidR="000C353F" w:rsidRPr="004C75C5" w:rsidRDefault="000C353F" w:rsidP="000C353F">
      <w:pPr>
        <w:ind w:right="174"/>
        <w:jc w:val="both"/>
        <w:rPr>
          <w:sz w:val="22"/>
          <w:szCs w:val="22"/>
        </w:rPr>
        <w:sectPr w:rsidR="000C353F" w:rsidRPr="004C75C5" w:rsidSect="004C75C5">
          <w:pgSz w:w="11906" w:h="16838" w:code="9"/>
          <w:pgMar w:top="567" w:right="567" w:bottom="567" w:left="1134" w:header="720" w:footer="720" w:gutter="0"/>
          <w:cols w:space="720"/>
        </w:sectPr>
      </w:pPr>
      <w:r w:rsidRPr="004C75C5">
        <w:rPr>
          <w:sz w:val="22"/>
          <w:szCs w:val="22"/>
        </w:rPr>
        <w:t>Доповідач – департамент забезпечення ресурсних платежів Сумської міської ради</w:t>
      </w:r>
    </w:p>
    <w:p w:rsidR="00E00153" w:rsidRPr="00E00153" w:rsidRDefault="00E00153" w:rsidP="00E00153">
      <w:pPr>
        <w:tabs>
          <w:tab w:val="left" w:pos="14580"/>
        </w:tabs>
        <w:ind w:left="9072"/>
        <w:rPr>
          <w:sz w:val="28"/>
          <w:szCs w:val="28"/>
        </w:rPr>
      </w:pPr>
      <w:r w:rsidRPr="00E00153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</w:t>
      </w:r>
    </w:p>
    <w:p w:rsidR="00E00153" w:rsidRPr="00E00153" w:rsidRDefault="00E00153" w:rsidP="00E00153">
      <w:pPr>
        <w:ind w:left="9072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до рішення Сумської міської ради </w:t>
      </w:r>
    </w:p>
    <w:p w:rsidR="00E00153" w:rsidRPr="00D429D5" w:rsidRDefault="00E00153" w:rsidP="00D429D5">
      <w:pPr>
        <w:ind w:left="9072" w:right="253"/>
        <w:jc w:val="both"/>
        <w:rPr>
          <w:sz w:val="28"/>
          <w:szCs w:val="28"/>
        </w:rPr>
      </w:pPr>
      <w:r w:rsidRPr="00D429D5">
        <w:rPr>
          <w:sz w:val="28"/>
          <w:szCs w:val="28"/>
        </w:rPr>
        <w:t>«</w:t>
      </w:r>
      <w:r w:rsidR="0058253E" w:rsidRPr="0058253E">
        <w:rPr>
          <w:sz w:val="28"/>
          <w:szCs w:val="28"/>
        </w:rPr>
        <w:t>Про надання учасникам АТО дозволу на розроблення проектів землеустрою щодо відведення земельних ділянок за адресою: м. Суми, вул. Леоніда Бикова, біля буд. № 6/1</w:t>
      </w:r>
      <w:r w:rsidRPr="00D429D5">
        <w:rPr>
          <w:sz w:val="28"/>
          <w:szCs w:val="28"/>
        </w:rPr>
        <w:t>»</w:t>
      </w:r>
    </w:p>
    <w:p w:rsidR="00E00153" w:rsidRPr="00E00153" w:rsidRDefault="00E00153" w:rsidP="00E00153">
      <w:pPr>
        <w:ind w:left="9072"/>
        <w:rPr>
          <w:sz w:val="28"/>
          <w:szCs w:val="28"/>
        </w:rPr>
      </w:pPr>
      <w:r w:rsidRPr="00E00153">
        <w:rPr>
          <w:sz w:val="28"/>
          <w:szCs w:val="28"/>
        </w:rPr>
        <w:t xml:space="preserve">від           </w:t>
      </w:r>
      <w:r w:rsidR="004C75C5">
        <w:rPr>
          <w:sz w:val="28"/>
          <w:szCs w:val="28"/>
        </w:rPr>
        <w:t xml:space="preserve"> </w:t>
      </w:r>
      <w:r w:rsidRPr="00E00153">
        <w:rPr>
          <w:sz w:val="28"/>
          <w:szCs w:val="28"/>
        </w:rPr>
        <w:t xml:space="preserve">        20</w:t>
      </w:r>
      <w:r w:rsidR="007150D0">
        <w:rPr>
          <w:sz w:val="28"/>
          <w:szCs w:val="28"/>
        </w:rPr>
        <w:t>20</w:t>
      </w:r>
      <w:r w:rsidRPr="00E00153">
        <w:rPr>
          <w:sz w:val="28"/>
          <w:szCs w:val="28"/>
        </w:rPr>
        <w:t xml:space="preserve"> року №           </w:t>
      </w:r>
      <w:r w:rsidR="004C75C5">
        <w:rPr>
          <w:sz w:val="28"/>
          <w:szCs w:val="28"/>
        </w:rPr>
        <w:t xml:space="preserve"> </w:t>
      </w:r>
      <w:r w:rsidRPr="00E00153">
        <w:rPr>
          <w:sz w:val="28"/>
          <w:szCs w:val="28"/>
        </w:rPr>
        <w:t xml:space="preserve">    -МР</w:t>
      </w:r>
    </w:p>
    <w:p w:rsidR="00E00153" w:rsidRPr="00E00153" w:rsidRDefault="00E00153" w:rsidP="00E00153">
      <w:pPr>
        <w:jc w:val="center"/>
        <w:rPr>
          <w:b/>
          <w:sz w:val="28"/>
          <w:szCs w:val="28"/>
        </w:rPr>
      </w:pPr>
      <w:r w:rsidRPr="00E00153">
        <w:rPr>
          <w:sz w:val="28"/>
          <w:szCs w:val="28"/>
        </w:rPr>
        <w:t>СПИСОК</w:t>
      </w:r>
    </w:p>
    <w:p w:rsidR="00E00153" w:rsidRPr="00E00153" w:rsidRDefault="004021BD" w:rsidP="00E001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громадян, яким </w:t>
      </w:r>
      <w:r w:rsidR="0058253E">
        <w:rPr>
          <w:sz w:val="28"/>
          <w:szCs w:val="28"/>
        </w:rPr>
        <w:t>надається дозвіл</w:t>
      </w:r>
      <w:r>
        <w:rPr>
          <w:sz w:val="28"/>
          <w:szCs w:val="28"/>
        </w:rPr>
        <w:t xml:space="preserve"> </w:t>
      </w:r>
      <w:r w:rsidR="00E00153" w:rsidRPr="00E00153">
        <w:rPr>
          <w:sz w:val="28"/>
          <w:szCs w:val="28"/>
        </w:rPr>
        <w:t xml:space="preserve">на розроблення проектів землеустрою щодо відведення земельних ділянок для будівництва </w:t>
      </w:r>
      <w:r w:rsidR="0058253E">
        <w:rPr>
          <w:sz w:val="28"/>
          <w:szCs w:val="28"/>
        </w:rPr>
        <w:t>індивідуальних гаражів</w:t>
      </w:r>
    </w:p>
    <w:tbl>
      <w:tblPr>
        <w:tblpPr w:leftFromText="180" w:rightFromText="180" w:vertAnchor="text" w:tblpX="353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274"/>
        <w:gridCol w:w="5103"/>
        <w:gridCol w:w="1842"/>
        <w:gridCol w:w="1956"/>
      </w:tblGrid>
      <w:tr w:rsidR="00E00153" w:rsidRPr="00E00153" w:rsidTr="000A61C9">
        <w:trPr>
          <w:trHeight w:val="1197"/>
        </w:trPr>
        <w:tc>
          <w:tcPr>
            <w:tcW w:w="1101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 № 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з/п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Прізвище, ім</w:t>
            </w:r>
            <w:r w:rsidRPr="00E00153">
              <w:rPr>
                <w:sz w:val="24"/>
                <w:szCs w:val="24"/>
                <w:lang w:val="ru-RU"/>
              </w:rPr>
              <w:t>’</w:t>
            </w:r>
            <w:r w:rsidRPr="00E00153">
              <w:rPr>
                <w:sz w:val="24"/>
                <w:szCs w:val="24"/>
              </w:rPr>
              <w:t xml:space="preserve">я, по батькові, 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Адреса земельної ділянки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Орієнтовна площа земельної ділянки,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га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Умови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надання</w:t>
            </w:r>
          </w:p>
        </w:tc>
      </w:tr>
      <w:tr w:rsidR="00E00153" w:rsidRPr="00E00153" w:rsidTr="000A61C9">
        <w:tc>
          <w:tcPr>
            <w:tcW w:w="1101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5</w:t>
            </w:r>
          </w:p>
        </w:tc>
      </w:tr>
      <w:tr w:rsidR="0044408B" w:rsidRPr="00E00153" w:rsidTr="000A61C9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E00153" w:rsidRDefault="0044408B" w:rsidP="000A61C9">
            <w:pPr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D429D5" w:rsidRDefault="0027015D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Мордач Олег Данилович</w:t>
            </w:r>
          </w:p>
          <w:p w:rsidR="0058253E" w:rsidRPr="00876D59" w:rsidRDefault="0058253E" w:rsidP="000A61C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D50C90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Леоніда Бикова, біля буд. № 6/1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58253E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44408B" w:rsidP="000A61C9">
            <w:pPr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власність</w:t>
            </w:r>
          </w:p>
        </w:tc>
      </w:tr>
      <w:tr w:rsidR="00480C81" w:rsidRPr="00E00153" w:rsidTr="000A61C9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E00153" w:rsidRDefault="00480C81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D429D5" w:rsidRDefault="0027015D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Скляр Володимир Миколайович</w:t>
            </w:r>
          </w:p>
          <w:p w:rsidR="00D50C90" w:rsidRPr="00876D59" w:rsidRDefault="00D50C90" w:rsidP="000A61C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6D6199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Леоніда Бикова, біля буд. № 6/1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58253E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480C81" w:rsidP="000A61C9">
            <w:pPr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власність</w:t>
            </w:r>
          </w:p>
        </w:tc>
      </w:tr>
      <w:tr w:rsidR="00480C81" w:rsidRPr="00E00153" w:rsidTr="000A61C9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80C81" w:rsidRDefault="00480C81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D429D5" w:rsidRDefault="0027015D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Ломакін Роман Володимирович</w:t>
            </w:r>
            <w:bookmarkStart w:id="0" w:name="_GoBack"/>
            <w:bookmarkEnd w:id="0"/>
          </w:p>
          <w:p w:rsidR="006D6199" w:rsidRPr="00876D59" w:rsidRDefault="006D6199" w:rsidP="000A61C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6D6199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Леоніда Бикова, біля буд. № 6/1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58253E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0,0080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480C81" w:rsidP="000A61C9">
            <w:pPr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власність</w:t>
            </w:r>
          </w:p>
        </w:tc>
      </w:tr>
    </w:tbl>
    <w:p w:rsidR="00D429D5" w:rsidRDefault="00D429D5" w:rsidP="001F33A7">
      <w:pPr>
        <w:ind w:right="-490"/>
        <w:jc w:val="both"/>
        <w:rPr>
          <w:sz w:val="28"/>
          <w:szCs w:val="28"/>
        </w:rPr>
      </w:pPr>
    </w:p>
    <w:p w:rsidR="00AB77DA" w:rsidRDefault="00AB77DA" w:rsidP="001F33A7">
      <w:pPr>
        <w:ind w:right="-490"/>
        <w:jc w:val="both"/>
        <w:rPr>
          <w:sz w:val="28"/>
          <w:szCs w:val="28"/>
        </w:rPr>
      </w:pPr>
    </w:p>
    <w:p w:rsidR="006C2332" w:rsidRDefault="006C2332" w:rsidP="001F33A7">
      <w:pPr>
        <w:ind w:right="-490"/>
        <w:jc w:val="both"/>
        <w:rPr>
          <w:sz w:val="28"/>
          <w:szCs w:val="28"/>
        </w:rPr>
      </w:pPr>
    </w:p>
    <w:p w:rsidR="006C2332" w:rsidRDefault="006C2332" w:rsidP="001F33A7">
      <w:pPr>
        <w:ind w:right="-490"/>
        <w:jc w:val="both"/>
        <w:rPr>
          <w:sz w:val="28"/>
          <w:szCs w:val="28"/>
        </w:rPr>
      </w:pPr>
    </w:p>
    <w:p w:rsidR="00E00153" w:rsidRPr="00E00153" w:rsidRDefault="00E00153" w:rsidP="001F33A7">
      <w:pPr>
        <w:ind w:right="-490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Сумський міський голова                                                                                                                      </w:t>
      </w:r>
      <w:r w:rsidR="0044408B">
        <w:rPr>
          <w:sz w:val="28"/>
          <w:szCs w:val="28"/>
        </w:rPr>
        <w:t xml:space="preserve">       </w:t>
      </w:r>
      <w:r w:rsidR="000A61C9">
        <w:rPr>
          <w:sz w:val="28"/>
          <w:szCs w:val="28"/>
        </w:rPr>
        <w:t xml:space="preserve">     </w:t>
      </w:r>
      <w:r w:rsidR="0044408B">
        <w:rPr>
          <w:sz w:val="28"/>
          <w:szCs w:val="28"/>
        </w:rPr>
        <w:t xml:space="preserve">               </w:t>
      </w:r>
      <w:r w:rsidR="000A61C9">
        <w:rPr>
          <w:sz w:val="28"/>
          <w:szCs w:val="28"/>
        </w:rPr>
        <w:t xml:space="preserve">  </w:t>
      </w:r>
      <w:r w:rsidR="001F33A7">
        <w:rPr>
          <w:sz w:val="28"/>
          <w:szCs w:val="28"/>
        </w:rPr>
        <w:t xml:space="preserve">      </w:t>
      </w:r>
      <w:r w:rsidRPr="00E00153">
        <w:rPr>
          <w:sz w:val="28"/>
          <w:szCs w:val="28"/>
        </w:rPr>
        <w:t>О.М. Лисенко</w:t>
      </w:r>
    </w:p>
    <w:p w:rsidR="00E00153" w:rsidRPr="00E00153" w:rsidRDefault="00E00153" w:rsidP="001F33A7">
      <w:pPr>
        <w:ind w:right="-2"/>
        <w:jc w:val="both"/>
        <w:rPr>
          <w:sz w:val="28"/>
          <w:szCs w:val="28"/>
        </w:rPr>
      </w:pPr>
    </w:p>
    <w:p w:rsidR="006A642D" w:rsidRDefault="00E00153" w:rsidP="0044408B">
      <w:pPr>
        <w:ind w:right="-2"/>
        <w:jc w:val="both"/>
        <w:rPr>
          <w:sz w:val="28"/>
          <w:szCs w:val="28"/>
        </w:rPr>
      </w:pPr>
      <w:r w:rsidRPr="00E00153">
        <w:rPr>
          <w:sz w:val="24"/>
          <w:szCs w:val="24"/>
        </w:rPr>
        <w:t>Виконавець: Клименко Ю.М.</w:t>
      </w:r>
      <w:r w:rsidRPr="00E00153">
        <w:rPr>
          <w:sz w:val="28"/>
          <w:szCs w:val="28"/>
        </w:rPr>
        <w:t xml:space="preserve"> </w:t>
      </w:r>
    </w:p>
    <w:sectPr w:rsidR="006A642D" w:rsidSect="004C75C5">
      <w:pgSz w:w="16838" w:h="11906" w:orient="landscape" w:code="9"/>
      <w:pgMar w:top="1701" w:right="678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93100"/>
    <w:rsid w:val="0009391F"/>
    <w:rsid w:val="000A61C9"/>
    <w:rsid w:val="000A69D8"/>
    <w:rsid w:val="000C353F"/>
    <w:rsid w:val="000E7A47"/>
    <w:rsid w:val="000F2150"/>
    <w:rsid w:val="000F552C"/>
    <w:rsid w:val="0010335F"/>
    <w:rsid w:val="00140081"/>
    <w:rsid w:val="00145D55"/>
    <w:rsid w:val="00163470"/>
    <w:rsid w:val="001719D6"/>
    <w:rsid w:val="001A24AC"/>
    <w:rsid w:val="001B68CA"/>
    <w:rsid w:val="001D7E7C"/>
    <w:rsid w:val="001F33A7"/>
    <w:rsid w:val="0022771B"/>
    <w:rsid w:val="00253C26"/>
    <w:rsid w:val="00263150"/>
    <w:rsid w:val="0027015D"/>
    <w:rsid w:val="00276C4F"/>
    <w:rsid w:val="002B67A0"/>
    <w:rsid w:val="002D32D1"/>
    <w:rsid w:val="002F5894"/>
    <w:rsid w:val="0030640B"/>
    <w:rsid w:val="0034028C"/>
    <w:rsid w:val="00344BA2"/>
    <w:rsid w:val="00346B80"/>
    <w:rsid w:val="003546AD"/>
    <w:rsid w:val="00356D8A"/>
    <w:rsid w:val="00357D37"/>
    <w:rsid w:val="003678A3"/>
    <w:rsid w:val="00373650"/>
    <w:rsid w:val="003737C8"/>
    <w:rsid w:val="003743A3"/>
    <w:rsid w:val="00393353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5040"/>
    <w:rsid w:val="00421E06"/>
    <w:rsid w:val="00425D65"/>
    <w:rsid w:val="00430893"/>
    <w:rsid w:val="0044408B"/>
    <w:rsid w:val="0045646B"/>
    <w:rsid w:val="004600DE"/>
    <w:rsid w:val="0046167C"/>
    <w:rsid w:val="004774E7"/>
    <w:rsid w:val="00480C81"/>
    <w:rsid w:val="004A0E17"/>
    <w:rsid w:val="004A7D41"/>
    <w:rsid w:val="004B113C"/>
    <w:rsid w:val="004B3EB4"/>
    <w:rsid w:val="004C75C5"/>
    <w:rsid w:val="004E4E7F"/>
    <w:rsid w:val="00500D40"/>
    <w:rsid w:val="005310EE"/>
    <w:rsid w:val="00557297"/>
    <w:rsid w:val="0056002D"/>
    <w:rsid w:val="005708AD"/>
    <w:rsid w:val="00576E46"/>
    <w:rsid w:val="0058253E"/>
    <w:rsid w:val="00584F8F"/>
    <w:rsid w:val="00590B0D"/>
    <w:rsid w:val="005C78FC"/>
    <w:rsid w:val="005E793A"/>
    <w:rsid w:val="00614BAD"/>
    <w:rsid w:val="0063783C"/>
    <w:rsid w:val="00664D9B"/>
    <w:rsid w:val="006656D8"/>
    <w:rsid w:val="00671923"/>
    <w:rsid w:val="006730C2"/>
    <w:rsid w:val="00673BC3"/>
    <w:rsid w:val="006847D2"/>
    <w:rsid w:val="006A642D"/>
    <w:rsid w:val="006C2332"/>
    <w:rsid w:val="006C2F23"/>
    <w:rsid w:val="006D6199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933DF"/>
    <w:rsid w:val="007A7663"/>
    <w:rsid w:val="007D0A9C"/>
    <w:rsid w:val="007D131C"/>
    <w:rsid w:val="007E3533"/>
    <w:rsid w:val="007F35A3"/>
    <w:rsid w:val="007F73B7"/>
    <w:rsid w:val="0082377F"/>
    <w:rsid w:val="00824FF9"/>
    <w:rsid w:val="00833C46"/>
    <w:rsid w:val="00845F4B"/>
    <w:rsid w:val="008476D2"/>
    <w:rsid w:val="008715C5"/>
    <w:rsid w:val="00876D59"/>
    <w:rsid w:val="00882268"/>
    <w:rsid w:val="00886CDA"/>
    <w:rsid w:val="00887741"/>
    <w:rsid w:val="008B3B6F"/>
    <w:rsid w:val="008C5639"/>
    <w:rsid w:val="008D44E5"/>
    <w:rsid w:val="008E4989"/>
    <w:rsid w:val="008F55A7"/>
    <w:rsid w:val="008F664E"/>
    <w:rsid w:val="0090221D"/>
    <w:rsid w:val="0091627E"/>
    <w:rsid w:val="00991303"/>
    <w:rsid w:val="009A0025"/>
    <w:rsid w:val="009A694B"/>
    <w:rsid w:val="009B1558"/>
    <w:rsid w:val="009C2E01"/>
    <w:rsid w:val="009E38E8"/>
    <w:rsid w:val="009F4CFA"/>
    <w:rsid w:val="00A14D44"/>
    <w:rsid w:val="00A176AB"/>
    <w:rsid w:val="00A37627"/>
    <w:rsid w:val="00A416E9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B066E"/>
    <w:rsid w:val="00AB77DA"/>
    <w:rsid w:val="00AE76D7"/>
    <w:rsid w:val="00AF2F7B"/>
    <w:rsid w:val="00B05AA8"/>
    <w:rsid w:val="00B247C0"/>
    <w:rsid w:val="00B43372"/>
    <w:rsid w:val="00B52135"/>
    <w:rsid w:val="00B70007"/>
    <w:rsid w:val="00B75F5A"/>
    <w:rsid w:val="00B876DE"/>
    <w:rsid w:val="00B92ECE"/>
    <w:rsid w:val="00BB18F1"/>
    <w:rsid w:val="00BB45F2"/>
    <w:rsid w:val="00BE4313"/>
    <w:rsid w:val="00C018DB"/>
    <w:rsid w:val="00C63CB0"/>
    <w:rsid w:val="00C71E6D"/>
    <w:rsid w:val="00C75B4F"/>
    <w:rsid w:val="00C86E09"/>
    <w:rsid w:val="00CB1F25"/>
    <w:rsid w:val="00CD50E0"/>
    <w:rsid w:val="00CF59FA"/>
    <w:rsid w:val="00D225C4"/>
    <w:rsid w:val="00D2429D"/>
    <w:rsid w:val="00D429D5"/>
    <w:rsid w:val="00D50C90"/>
    <w:rsid w:val="00D519B2"/>
    <w:rsid w:val="00D52DC7"/>
    <w:rsid w:val="00D566A8"/>
    <w:rsid w:val="00D63CAC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F4C74"/>
    <w:rsid w:val="00E00153"/>
    <w:rsid w:val="00E404E7"/>
    <w:rsid w:val="00E44736"/>
    <w:rsid w:val="00E561E7"/>
    <w:rsid w:val="00E74D76"/>
    <w:rsid w:val="00E763FE"/>
    <w:rsid w:val="00E911C2"/>
    <w:rsid w:val="00E91C23"/>
    <w:rsid w:val="00EA728B"/>
    <w:rsid w:val="00EC2726"/>
    <w:rsid w:val="00ED5562"/>
    <w:rsid w:val="00ED568F"/>
    <w:rsid w:val="00EE679D"/>
    <w:rsid w:val="00F1292C"/>
    <w:rsid w:val="00F13513"/>
    <w:rsid w:val="00F367B4"/>
    <w:rsid w:val="00F52761"/>
    <w:rsid w:val="00F5455E"/>
    <w:rsid w:val="00F73631"/>
    <w:rsid w:val="00F824F9"/>
    <w:rsid w:val="00F91409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4F5C0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4D7E0-7D4C-486A-A2CC-B38DA03F3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205</cp:revision>
  <cp:lastPrinted>2018-03-19T10:55:00Z</cp:lastPrinted>
  <dcterms:created xsi:type="dcterms:W3CDTF">2017-12-04T08:13:00Z</dcterms:created>
  <dcterms:modified xsi:type="dcterms:W3CDTF">2020-03-24T15:11:00Z</dcterms:modified>
</cp:coreProperties>
</file>