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7" w:type="dxa"/>
        <w:jc w:val="center"/>
        <w:tblLayout w:type="fixed"/>
        <w:tblLook w:val="01E0" w:firstRow="1" w:lastRow="1" w:firstColumn="1" w:lastColumn="1" w:noHBand="0" w:noVBand="0"/>
      </w:tblPr>
      <w:tblGrid>
        <w:gridCol w:w="164"/>
        <w:gridCol w:w="2330"/>
        <w:gridCol w:w="1705"/>
        <w:gridCol w:w="905"/>
        <w:gridCol w:w="212"/>
        <w:gridCol w:w="1714"/>
        <w:gridCol w:w="2714"/>
        <w:gridCol w:w="313"/>
      </w:tblGrid>
      <w:tr w:rsidR="0091099B" w:rsidRPr="00965753" w:rsidTr="006D6F5D">
        <w:trPr>
          <w:gridBefore w:val="1"/>
          <w:wBefore w:w="164" w:type="dxa"/>
          <w:cantSplit/>
          <w:trHeight w:val="1151"/>
          <w:jc w:val="center"/>
        </w:trPr>
        <w:tc>
          <w:tcPr>
            <w:tcW w:w="4035" w:type="dxa"/>
            <w:gridSpan w:val="2"/>
            <w:shd w:val="clear" w:color="auto" w:fill="auto"/>
          </w:tcPr>
          <w:p w:rsidR="0091099B" w:rsidRPr="00965753" w:rsidRDefault="0091099B" w:rsidP="0091099B">
            <w:pPr>
              <w:widowControl w:val="0"/>
              <w:tabs>
                <w:tab w:val="left" w:pos="8447"/>
              </w:tabs>
              <w:autoSpaceDE w:val="0"/>
              <w:autoSpaceDN w:val="0"/>
              <w:adjustRightInd w:val="0"/>
              <w:jc w:val="right"/>
              <w:rPr>
                <w:lang w:val="uk-UA"/>
              </w:rPr>
            </w:pPr>
            <w:r w:rsidRPr="00965753">
              <w:rPr>
                <w:bCs/>
                <w:sz w:val="20"/>
                <w:szCs w:val="20"/>
                <w:lang w:val="uk-UA"/>
              </w:rPr>
              <w:br w:type="page"/>
            </w:r>
          </w:p>
        </w:tc>
        <w:tc>
          <w:tcPr>
            <w:tcW w:w="1117" w:type="dxa"/>
            <w:gridSpan w:val="2"/>
            <w:shd w:val="clear" w:color="auto" w:fill="auto"/>
          </w:tcPr>
          <w:p w:rsidR="0091099B" w:rsidRPr="00965753" w:rsidRDefault="0091099B" w:rsidP="0091099B">
            <w:pPr>
              <w:widowControl w:val="0"/>
              <w:tabs>
                <w:tab w:val="left" w:pos="8447"/>
              </w:tabs>
              <w:autoSpaceDE w:val="0"/>
              <w:autoSpaceDN w:val="0"/>
              <w:adjustRightInd w:val="0"/>
              <w:jc w:val="center"/>
              <w:rPr>
                <w:sz w:val="28"/>
                <w:szCs w:val="28"/>
                <w:lang w:val="uk-UA"/>
              </w:rPr>
            </w:pPr>
          </w:p>
          <w:p w:rsidR="0091099B" w:rsidRPr="00965753" w:rsidRDefault="0091099B" w:rsidP="0091099B">
            <w:pPr>
              <w:widowControl w:val="0"/>
              <w:tabs>
                <w:tab w:val="left" w:pos="8447"/>
              </w:tabs>
              <w:autoSpaceDE w:val="0"/>
              <w:autoSpaceDN w:val="0"/>
              <w:adjustRightInd w:val="0"/>
              <w:jc w:val="center"/>
              <w:rPr>
                <w:sz w:val="28"/>
                <w:szCs w:val="28"/>
                <w:lang w:val="uk-UA"/>
              </w:rPr>
            </w:pPr>
            <w:r w:rsidRPr="00965753">
              <w:rPr>
                <w:noProof/>
                <w:sz w:val="28"/>
                <w:szCs w:val="28"/>
              </w:rPr>
              <w:drawing>
                <wp:inline distT="0" distB="0" distL="0" distR="0" wp14:anchorId="26578E07" wp14:editId="07F07CD6">
                  <wp:extent cx="426720"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586740"/>
                          </a:xfrm>
                          <a:prstGeom prst="rect">
                            <a:avLst/>
                          </a:prstGeom>
                          <a:noFill/>
                          <a:ln>
                            <a:noFill/>
                          </a:ln>
                        </pic:spPr>
                      </pic:pic>
                    </a:graphicData>
                  </a:graphic>
                </wp:inline>
              </w:drawing>
            </w:r>
          </w:p>
        </w:tc>
        <w:tc>
          <w:tcPr>
            <w:tcW w:w="4741" w:type="dxa"/>
            <w:gridSpan w:val="3"/>
            <w:shd w:val="clear" w:color="auto" w:fill="auto"/>
          </w:tcPr>
          <w:p w:rsidR="0091099B" w:rsidRPr="00965753" w:rsidRDefault="0091099B" w:rsidP="0091099B">
            <w:pPr>
              <w:widowControl w:val="0"/>
              <w:tabs>
                <w:tab w:val="left" w:pos="8447"/>
              </w:tabs>
              <w:autoSpaceDE w:val="0"/>
              <w:autoSpaceDN w:val="0"/>
              <w:adjustRightInd w:val="0"/>
              <w:rPr>
                <w:sz w:val="28"/>
                <w:szCs w:val="28"/>
                <w:lang w:val="uk-UA"/>
              </w:rPr>
            </w:pPr>
            <w:r w:rsidRPr="00965753">
              <w:rPr>
                <w:sz w:val="28"/>
                <w:szCs w:val="28"/>
                <w:lang w:val="uk-UA"/>
              </w:rPr>
              <w:t xml:space="preserve">                     </w:t>
            </w:r>
          </w:p>
          <w:p w:rsidR="0091099B" w:rsidRPr="00965753" w:rsidRDefault="00F4229C" w:rsidP="0091099B">
            <w:pPr>
              <w:widowControl w:val="0"/>
              <w:tabs>
                <w:tab w:val="left" w:pos="8447"/>
              </w:tabs>
              <w:autoSpaceDE w:val="0"/>
              <w:autoSpaceDN w:val="0"/>
              <w:adjustRightInd w:val="0"/>
              <w:rPr>
                <w:sz w:val="28"/>
                <w:szCs w:val="28"/>
                <w:lang w:val="uk-UA"/>
              </w:rPr>
            </w:pPr>
            <w:r>
              <w:rPr>
                <w:sz w:val="28"/>
                <w:szCs w:val="28"/>
                <w:lang w:val="uk-UA"/>
              </w:rPr>
              <w:t xml:space="preserve">                 </w:t>
            </w:r>
            <w:proofErr w:type="spellStart"/>
            <w:r>
              <w:rPr>
                <w:sz w:val="28"/>
                <w:szCs w:val="28"/>
                <w:lang w:val="uk-UA"/>
              </w:rPr>
              <w:t>Проє</w:t>
            </w:r>
            <w:r w:rsidR="0091099B" w:rsidRPr="00965753">
              <w:rPr>
                <w:sz w:val="28"/>
                <w:szCs w:val="28"/>
                <w:lang w:val="uk-UA"/>
              </w:rPr>
              <w:t>кт</w:t>
            </w:r>
            <w:proofErr w:type="spellEnd"/>
          </w:p>
          <w:p w:rsidR="0091099B" w:rsidRPr="00965753" w:rsidRDefault="0091099B" w:rsidP="0091099B">
            <w:pPr>
              <w:widowControl w:val="0"/>
              <w:tabs>
                <w:tab w:val="left" w:pos="8447"/>
              </w:tabs>
              <w:autoSpaceDE w:val="0"/>
              <w:autoSpaceDN w:val="0"/>
              <w:adjustRightInd w:val="0"/>
              <w:rPr>
                <w:sz w:val="28"/>
                <w:szCs w:val="28"/>
                <w:lang w:val="uk-UA"/>
              </w:rPr>
            </w:pPr>
            <w:r w:rsidRPr="00965753">
              <w:rPr>
                <w:sz w:val="28"/>
                <w:szCs w:val="28"/>
                <w:lang w:val="uk-UA"/>
              </w:rPr>
              <w:t xml:space="preserve">                 оприлюднено</w:t>
            </w:r>
          </w:p>
          <w:p w:rsidR="0091099B" w:rsidRPr="00965753" w:rsidRDefault="0091099B" w:rsidP="0091099B">
            <w:pPr>
              <w:widowControl w:val="0"/>
              <w:tabs>
                <w:tab w:val="left" w:pos="8447"/>
              </w:tabs>
              <w:autoSpaceDE w:val="0"/>
              <w:autoSpaceDN w:val="0"/>
              <w:adjustRightInd w:val="0"/>
              <w:rPr>
                <w:sz w:val="28"/>
                <w:szCs w:val="28"/>
                <w:lang w:val="uk-UA"/>
              </w:rPr>
            </w:pPr>
            <w:r w:rsidRPr="00965753">
              <w:rPr>
                <w:sz w:val="28"/>
                <w:szCs w:val="28"/>
                <w:lang w:val="uk-UA"/>
              </w:rPr>
              <w:t xml:space="preserve">         «___»_________ 20</w:t>
            </w:r>
            <w:r w:rsidR="00F4229C">
              <w:rPr>
                <w:sz w:val="28"/>
                <w:szCs w:val="28"/>
                <w:lang w:val="uk-UA"/>
              </w:rPr>
              <w:t>20</w:t>
            </w:r>
            <w:r w:rsidRPr="00965753">
              <w:rPr>
                <w:sz w:val="28"/>
                <w:szCs w:val="28"/>
                <w:lang w:val="uk-UA"/>
              </w:rPr>
              <w:t xml:space="preserve"> р.</w:t>
            </w:r>
          </w:p>
          <w:p w:rsidR="0091099B" w:rsidRPr="00965753" w:rsidRDefault="0091099B" w:rsidP="0091099B">
            <w:pPr>
              <w:widowControl w:val="0"/>
              <w:tabs>
                <w:tab w:val="left" w:pos="8447"/>
              </w:tabs>
              <w:autoSpaceDE w:val="0"/>
              <w:autoSpaceDN w:val="0"/>
              <w:adjustRightInd w:val="0"/>
              <w:jc w:val="center"/>
              <w:rPr>
                <w:sz w:val="28"/>
                <w:szCs w:val="28"/>
                <w:lang w:val="uk-UA"/>
              </w:rPr>
            </w:pPr>
          </w:p>
        </w:tc>
      </w:tr>
      <w:tr w:rsidR="0091099B" w:rsidRPr="00965753" w:rsidTr="006D6F5D">
        <w:trPr>
          <w:gridBefore w:val="1"/>
          <w:wBefore w:w="164" w:type="dxa"/>
          <w:jc w:val="center"/>
        </w:trPr>
        <w:tc>
          <w:tcPr>
            <w:tcW w:w="2330" w:type="dxa"/>
          </w:tcPr>
          <w:p w:rsidR="0091099B" w:rsidRPr="00965753" w:rsidRDefault="0091099B" w:rsidP="0091099B">
            <w:pPr>
              <w:widowControl w:val="0"/>
              <w:tabs>
                <w:tab w:val="left" w:pos="8447"/>
              </w:tabs>
              <w:autoSpaceDE w:val="0"/>
              <w:autoSpaceDN w:val="0"/>
              <w:adjustRightInd w:val="0"/>
              <w:rPr>
                <w:i/>
                <w:iCs/>
                <w:noProof/>
                <w:lang w:val="uk-UA"/>
              </w:rPr>
            </w:pPr>
          </w:p>
        </w:tc>
        <w:tc>
          <w:tcPr>
            <w:tcW w:w="4536" w:type="dxa"/>
            <w:gridSpan w:val="4"/>
          </w:tcPr>
          <w:p w:rsidR="0091099B" w:rsidRPr="00965753" w:rsidRDefault="0091099B" w:rsidP="0091099B">
            <w:pPr>
              <w:widowControl w:val="0"/>
              <w:tabs>
                <w:tab w:val="left" w:pos="2494"/>
              </w:tabs>
              <w:autoSpaceDE w:val="0"/>
              <w:autoSpaceDN w:val="0"/>
              <w:adjustRightInd w:val="0"/>
              <w:jc w:val="center"/>
              <w:rPr>
                <w:caps/>
                <w:noProof/>
                <w:sz w:val="36"/>
                <w:szCs w:val="36"/>
                <w:lang w:val="uk-UA"/>
              </w:rPr>
            </w:pPr>
            <w:r w:rsidRPr="00965753">
              <w:rPr>
                <w:smallCaps/>
                <w:color w:val="000000"/>
                <w:sz w:val="36"/>
                <w:szCs w:val="36"/>
                <w:lang w:val="uk-UA"/>
              </w:rPr>
              <w:t>СУМСЬКА МІСЬКА РАДА</w:t>
            </w:r>
          </w:p>
        </w:tc>
        <w:tc>
          <w:tcPr>
            <w:tcW w:w="3027" w:type="dxa"/>
            <w:gridSpan w:val="2"/>
          </w:tcPr>
          <w:p w:rsidR="0091099B" w:rsidRPr="00965753" w:rsidRDefault="0091099B" w:rsidP="0091099B">
            <w:pPr>
              <w:widowControl w:val="0"/>
              <w:tabs>
                <w:tab w:val="left" w:pos="8447"/>
              </w:tabs>
              <w:autoSpaceDE w:val="0"/>
              <w:autoSpaceDN w:val="0"/>
              <w:adjustRightInd w:val="0"/>
              <w:rPr>
                <w:i/>
                <w:iCs/>
                <w:noProof/>
                <w:lang w:val="uk-UA"/>
              </w:rPr>
            </w:pPr>
          </w:p>
        </w:tc>
      </w:tr>
      <w:tr w:rsidR="0091099B" w:rsidRPr="00965753" w:rsidTr="006D6F5D">
        <w:trPr>
          <w:gridBefore w:val="1"/>
          <w:wBefore w:w="164" w:type="dxa"/>
          <w:jc w:val="center"/>
        </w:trPr>
        <w:tc>
          <w:tcPr>
            <w:tcW w:w="2330" w:type="dxa"/>
          </w:tcPr>
          <w:p w:rsidR="0091099B" w:rsidRPr="00965753" w:rsidRDefault="0091099B" w:rsidP="0091099B">
            <w:pPr>
              <w:widowControl w:val="0"/>
              <w:tabs>
                <w:tab w:val="left" w:pos="8447"/>
              </w:tabs>
              <w:autoSpaceDE w:val="0"/>
              <w:autoSpaceDN w:val="0"/>
              <w:adjustRightInd w:val="0"/>
              <w:jc w:val="right"/>
              <w:rPr>
                <w:i/>
                <w:iCs/>
                <w:noProof/>
                <w:lang w:val="uk-UA"/>
              </w:rPr>
            </w:pPr>
          </w:p>
        </w:tc>
        <w:tc>
          <w:tcPr>
            <w:tcW w:w="4536" w:type="dxa"/>
            <w:gridSpan w:val="4"/>
          </w:tcPr>
          <w:p w:rsidR="0091099B" w:rsidRPr="00965753" w:rsidRDefault="0091099B" w:rsidP="0091099B">
            <w:pPr>
              <w:widowControl w:val="0"/>
              <w:tabs>
                <w:tab w:val="left" w:pos="8447"/>
              </w:tabs>
              <w:autoSpaceDE w:val="0"/>
              <w:autoSpaceDN w:val="0"/>
              <w:adjustRightInd w:val="0"/>
              <w:jc w:val="center"/>
              <w:rPr>
                <w:noProof/>
                <w:sz w:val="28"/>
                <w:szCs w:val="28"/>
                <w:lang w:val="uk-UA"/>
              </w:rPr>
            </w:pPr>
            <w:r w:rsidRPr="00965753">
              <w:rPr>
                <w:sz w:val="28"/>
                <w:szCs w:val="28"/>
                <w:lang w:val="uk-UA"/>
              </w:rPr>
              <w:t>VІІ СКЛИКАННЯ ________ СЕСІЯ</w:t>
            </w:r>
          </w:p>
        </w:tc>
        <w:tc>
          <w:tcPr>
            <w:tcW w:w="3027" w:type="dxa"/>
            <w:gridSpan w:val="2"/>
          </w:tcPr>
          <w:p w:rsidR="0091099B" w:rsidRPr="00965753" w:rsidRDefault="0091099B" w:rsidP="0091099B">
            <w:pPr>
              <w:widowControl w:val="0"/>
              <w:tabs>
                <w:tab w:val="left" w:pos="8447"/>
              </w:tabs>
              <w:autoSpaceDE w:val="0"/>
              <w:autoSpaceDN w:val="0"/>
              <w:adjustRightInd w:val="0"/>
              <w:rPr>
                <w:i/>
                <w:iCs/>
                <w:noProof/>
                <w:lang w:val="uk-UA"/>
              </w:rPr>
            </w:pPr>
          </w:p>
        </w:tc>
      </w:tr>
      <w:tr w:rsidR="0091099B" w:rsidRPr="00965753" w:rsidTr="006D6F5D">
        <w:trPr>
          <w:gridBefore w:val="1"/>
          <w:wBefore w:w="164" w:type="dxa"/>
          <w:jc w:val="center"/>
        </w:trPr>
        <w:tc>
          <w:tcPr>
            <w:tcW w:w="2330" w:type="dxa"/>
          </w:tcPr>
          <w:p w:rsidR="0091099B" w:rsidRPr="00965753" w:rsidRDefault="0091099B" w:rsidP="0091099B">
            <w:pPr>
              <w:widowControl w:val="0"/>
              <w:tabs>
                <w:tab w:val="left" w:pos="8447"/>
              </w:tabs>
              <w:autoSpaceDE w:val="0"/>
              <w:autoSpaceDN w:val="0"/>
              <w:adjustRightInd w:val="0"/>
              <w:ind w:hanging="94"/>
              <w:rPr>
                <w:i/>
                <w:iCs/>
                <w:noProof/>
                <w:lang w:val="uk-UA"/>
              </w:rPr>
            </w:pPr>
          </w:p>
        </w:tc>
        <w:tc>
          <w:tcPr>
            <w:tcW w:w="4536" w:type="dxa"/>
            <w:gridSpan w:val="4"/>
          </w:tcPr>
          <w:p w:rsidR="0091099B" w:rsidRPr="00965753" w:rsidRDefault="0091099B" w:rsidP="0091099B">
            <w:pPr>
              <w:widowControl w:val="0"/>
              <w:tabs>
                <w:tab w:val="left" w:pos="8447"/>
              </w:tabs>
              <w:autoSpaceDE w:val="0"/>
              <w:autoSpaceDN w:val="0"/>
              <w:adjustRightInd w:val="0"/>
              <w:jc w:val="center"/>
              <w:rPr>
                <w:noProof/>
                <w:sz w:val="32"/>
                <w:szCs w:val="32"/>
                <w:lang w:val="uk-UA"/>
              </w:rPr>
            </w:pPr>
            <w:r w:rsidRPr="00965753">
              <w:rPr>
                <w:b/>
                <w:bCs/>
                <w:sz w:val="32"/>
                <w:szCs w:val="32"/>
                <w:lang w:val="uk-UA"/>
              </w:rPr>
              <w:t>РІШЕННЯ</w:t>
            </w:r>
          </w:p>
        </w:tc>
        <w:tc>
          <w:tcPr>
            <w:tcW w:w="3027" w:type="dxa"/>
            <w:gridSpan w:val="2"/>
          </w:tcPr>
          <w:p w:rsidR="0091099B" w:rsidRPr="00965753" w:rsidRDefault="0091099B" w:rsidP="0091099B">
            <w:pPr>
              <w:widowControl w:val="0"/>
              <w:tabs>
                <w:tab w:val="left" w:pos="8447"/>
              </w:tabs>
              <w:autoSpaceDE w:val="0"/>
              <w:autoSpaceDN w:val="0"/>
              <w:adjustRightInd w:val="0"/>
              <w:rPr>
                <w:i/>
                <w:iCs/>
                <w:noProof/>
                <w:lang w:val="uk-UA"/>
              </w:rPr>
            </w:pPr>
          </w:p>
        </w:tc>
      </w:tr>
      <w:tr w:rsidR="0091099B" w:rsidRPr="00965753" w:rsidTr="006D6F5D">
        <w:trPr>
          <w:gridBefore w:val="1"/>
          <w:wBefore w:w="164" w:type="dxa"/>
          <w:jc w:val="center"/>
        </w:trPr>
        <w:tc>
          <w:tcPr>
            <w:tcW w:w="4035" w:type="dxa"/>
            <w:gridSpan w:val="2"/>
          </w:tcPr>
          <w:p w:rsidR="0091099B" w:rsidRPr="00965753" w:rsidRDefault="0091099B" w:rsidP="0091099B">
            <w:pPr>
              <w:widowControl w:val="0"/>
              <w:tabs>
                <w:tab w:val="left" w:pos="8447"/>
              </w:tabs>
              <w:autoSpaceDE w:val="0"/>
              <w:autoSpaceDN w:val="0"/>
              <w:adjustRightInd w:val="0"/>
              <w:spacing w:before="56"/>
              <w:rPr>
                <w:noProof/>
                <w:lang w:val="uk-UA"/>
              </w:rPr>
            </w:pPr>
          </w:p>
        </w:tc>
        <w:tc>
          <w:tcPr>
            <w:tcW w:w="1117" w:type="dxa"/>
            <w:gridSpan w:val="2"/>
          </w:tcPr>
          <w:p w:rsidR="0091099B" w:rsidRPr="00965753" w:rsidRDefault="0091099B" w:rsidP="0091099B">
            <w:pPr>
              <w:widowControl w:val="0"/>
              <w:tabs>
                <w:tab w:val="left" w:pos="8447"/>
              </w:tabs>
              <w:autoSpaceDE w:val="0"/>
              <w:autoSpaceDN w:val="0"/>
              <w:adjustRightInd w:val="0"/>
              <w:jc w:val="center"/>
              <w:rPr>
                <w:noProof/>
                <w:sz w:val="28"/>
                <w:szCs w:val="28"/>
                <w:lang w:val="uk-UA"/>
              </w:rPr>
            </w:pPr>
          </w:p>
        </w:tc>
        <w:tc>
          <w:tcPr>
            <w:tcW w:w="4741" w:type="dxa"/>
            <w:gridSpan w:val="3"/>
          </w:tcPr>
          <w:p w:rsidR="0091099B" w:rsidRPr="00965753" w:rsidRDefault="0091099B" w:rsidP="0091099B">
            <w:pPr>
              <w:widowControl w:val="0"/>
              <w:tabs>
                <w:tab w:val="left" w:pos="8447"/>
              </w:tabs>
              <w:autoSpaceDE w:val="0"/>
              <w:autoSpaceDN w:val="0"/>
              <w:adjustRightInd w:val="0"/>
              <w:spacing w:before="56"/>
              <w:jc w:val="right"/>
              <w:rPr>
                <w:noProof/>
                <w:sz w:val="28"/>
                <w:szCs w:val="28"/>
                <w:lang w:val="uk-UA"/>
              </w:rPr>
            </w:pPr>
          </w:p>
        </w:tc>
      </w:tr>
      <w:tr w:rsidR="0091099B" w:rsidRPr="00965753" w:rsidTr="006D6F5D">
        <w:tblPrEx>
          <w:jc w:val="left"/>
        </w:tblPrEx>
        <w:trPr>
          <w:gridAfter w:val="1"/>
          <w:wAfter w:w="313" w:type="dxa"/>
          <w:trHeight w:val="755"/>
        </w:trPr>
        <w:tc>
          <w:tcPr>
            <w:tcW w:w="5104" w:type="dxa"/>
            <w:gridSpan w:val="4"/>
            <w:shd w:val="clear" w:color="auto" w:fill="auto"/>
          </w:tcPr>
          <w:p w:rsidR="0091099B" w:rsidRPr="00965753" w:rsidRDefault="0091099B" w:rsidP="002F0B98">
            <w:pPr>
              <w:widowControl w:val="0"/>
              <w:tabs>
                <w:tab w:val="left" w:pos="8447"/>
              </w:tabs>
              <w:autoSpaceDE w:val="0"/>
              <w:autoSpaceDN w:val="0"/>
              <w:adjustRightInd w:val="0"/>
              <w:jc w:val="both"/>
              <w:rPr>
                <w:sz w:val="28"/>
                <w:szCs w:val="28"/>
                <w:lang w:val="uk-UA"/>
              </w:rPr>
            </w:pPr>
            <w:r w:rsidRPr="00965753">
              <w:rPr>
                <w:sz w:val="28"/>
                <w:szCs w:val="28"/>
                <w:lang w:val="uk-UA"/>
              </w:rPr>
              <w:t>від ___________ 20</w:t>
            </w:r>
            <w:r w:rsidR="00F4229C">
              <w:rPr>
                <w:sz w:val="28"/>
                <w:szCs w:val="28"/>
                <w:lang w:val="uk-UA"/>
              </w:rPr>
              <w:t>20</w:t>
            </w:r>
            <w:r w:rsidRPr="00965753">
              <w:rPr>
                <w:sz w:val="28"/>
                <w:szCs w:val="28"/>
                <w:lang w:val="uk-UA"/>
              </w:rPr>
              <w:t xml:space="preserve"> року № ____ – МР</w:t>
            </w:r>
          </w:p>
          <w:p w:rsidR="0091099B" w:rsidRPr="00965753" w:rsidRDefault="0091099B" w:rsidP="002F0B98">
            <w:pPr>
              <w:widowControl w:val="0"/>
              <w:tabs>
                <w:tab w:val="left" w:pos="8447"/>
              </w:tabs>
              <w:autoSpaceDE w:val="0"/>
              <w:autoSpaceDN w:val="0"/>
              <w:adjustRightInd w:val="0"/>
              <w:rPr>
                <w:sz w:val="28"/>
                <w:szCs w:val="28"/>
                <w:lang w:val="uk-UA"/>
              </w:rPr>
            </w:pPr>
            <w:r w:rsidRPr="00965753">
              <w:rPr>
                <w:sz w:val="28"/>
                <w:szCs w:val="28"/>
                <w:lang w:val="uk-UA"/>
              </w:rPr>
              <w:t>м. Суми</w:t>
            </w:r>
          </w:p>
          <w:p w:rsidR="00C1664E" w:rsidRPr="00965753" w:rsidRDefault="00C1664E" w:rsidP="002F0B98">
            <w:pPr>
              <w:widowControl w:val="0"/>
              <w:tabs>
                <w:tab w:val="left" w:pos="8447"/>
              </w:tabs>
              <w:autoSpaceDE w:val="0"/>
              <w:autoSpaceDN w:val="0"/>
              <w:adjustRightInd w:val="0"/>
              <w:rPr>
                <w:sz w:val="28"/>
                <w:szCs w:val="28"/>
                <w:lang w:val="uk-UA"/>
              </w:rPr>
            </w:pPr>
          </w:p>
          <w:p w:rsidR="0091099B" w:rsidRPr="00965753" w:rsidRDefault="00C1664E" w:rsidP="00F4229C">
            <w:pPr>
              <w:jc w:val="both"/>
              <w:rPr>
                <w:sz w:val="28"/>
                <w:szCs w:val="28"/>
                <w:lang w:val="uk-UA"/>
              </w:rPr>
            </w:pPr>
            <w:r w:rsidRPr="00965753">
              <w:rPr>
                <w:sz w:val="28"/>
                <w:szCs w:val="28"/>
                <w:lang w:val="uk-UA"/>
              </w:rPr>
              <w:t xml:space="preserve">Про </w:t>
            </w:r>
            <w:r w:rsidR="00E11EC8" w:rsidRPr="00965753">
              <w:rPr>
                <w:sz w:val="28"/>
                <w:szCs w:val="28"/>
                <w:lang w:val="uk-UA"/>
              </w:rPr>
              <w:t xml:space="preserve">внесення змін до рішення Сумської міської ради від </w:t>
            </w:r>
            <w:r w:rsidR="00F4229C">
              <w:rPr>
                <w:sz w:val="28"/>
                <w:szCs w:val="28"/>
                <w:lang w:val="uk-UA"/>
              </w:rPr>
              <w:t>19</w:t>
            </w:r>
            <w:r w:rsidR="00E11EC8" w:rsidRPr="00965753">
              <w:rPr>
                <w:sz w:val="28"/>
                <w:szCs w:val="28"/>
                <w:lang w:val="uk-UA"/>
              </w:rPr>
              <w:t xml:space="preserve"> червня 201</w:t>
            </w:r>
            <w:r w:rsidR="00F4229C">
              <w:rPr>
                <w:sz w:val="28"/>
                <w:szCs w:val="28"/>
                <w:lang w:val="uk-UA"/>
              </w:rPr>
              <w:t>9</w:t>
            </w:r>
            <w:r w:rsidR="00E11EC8" w:rsidRPr="00965753">
              <w:rPr>
                <w:sz w:val="28"/>
                <w:szCs w:val="28"/>
                <w:lang w:val="uk-UA"/>
              </w:rPr>
              <w:t xml:space="preserve"> року               № </w:t>
            </w:r>
            <w:r w:rsidR="00F4229C">
              <w:rPr>
                <w:sz w:val="28"/>
                <w:szCs w:val="28"/>
                <w:lang w:val="uk-UA"/>
              </w:rPr>
              <w:t>5298</w:t>
            </w:r>
            <w:r w:rsidR="00E11EC8" w:rsidRPr="00965753">
              <w:rPr>
                <w:sz w:val="28"/>
                <w:szCs w:val="28"/>
                <w:lang w:val="uk-UA"/>
              </w:rPr>
              <w:t xml:space="preserve">-МР «Про встановлення плати за землю» </w:t>
            </w:r>
          </w:p>
        </w:tc>
        <w:tc>
          <w:tcPr>
            <w:tcW w:w="4640" w:type="dxa"/>
            <w:gridSpan w:val="3"/>
            <w:shd w:val="clear" w:color="auto" w:fill="auto"/>
          </w:tcPr>
          <w:p w:rsidR="0091099B" w:rsidRPr="00965753" w:rsidRDefault="0091099B" w:rsidP="002F0B98">
            <w:pPr>
              <w:widowControl w:val="0"/>
              <w:tabs>
                <w:tab w:val="left" w:pos="8447"/>
              </w:tabs>
              <w:autoSpaceDE w:val="0"/>
              <w:autoSpaceDN w:val="0"/>
              <w:adjustRightInd w:val="0"/>
              <w:spacing w:before="56"/>
              <w:rPr>
                <w:sz w:val="28"/>
                <w:szCs w:val="28"/>
                <w:lang w:val="uk-UA"/>
              </w:rPr>
            </w:pPr>
          </w:p>
          <w:p w:rsidR="0091099B" w:rsidRPr="00965753" w:rsidRDefault="0091099B" w:rsidP="002F0B98">
            <w:pPr>
              <w:widowControl w:val="0"/>
              <w:tabs>
                <w:tab w:val="left" w:pos="8447"/>
              </w:tabs>
              <w:autoSpaceDE w:val="0"/>
              <w:autoSpaceDN w:val="0"/>
              <w:adjustRightInd w:val="0"/>
              <w:spacing w:before="56"/>
              <w:jc w:val="center"/>
              <w:rPr>
                <w:sz w:val="28"/>
                <w:szCs w:val="28"/>
                <w:lang w:val="uk-UA"/>
              </w:rPr>
            </w:pPr>
          </w:p>
        </w:tc>
      </w:tr>
      <w:tr w:rsidR="0091099B" w:rsidRPr="00965753" w:rsidTr="006D6F5D">
        <w:tblPrEx>
          <w:jc w:val="left"/>
        </w:tblPrEx>
        <w:trPr>
          <w:gridAfter w:val="1"/>
          <w:wAfter w:w="313" w:type="dxa"/>
          <w:trHeight w:val="74"/>
        </w:trPr>
        <w:tc>
          <w:tcPr>
            <w:tcW w:w="5104" w:type="dxa"/>
            <w:gridSpan w:val="4"/>
            <w:shd w:val="clear" w:color="auto" w:fill="auto"/>
          </w:tcPr>
          <w:p w:rsidR="0091099B" w:rsidRPr="00965753" w:rsidRDefault="0091099B" w:rsidP="002F0B98">
            <w:pPr>
              <w:widowControl w:val="0"/>
              <w:tabs>
                <w:tab w:val="left" w:pos="8447"/>
              </w:tabs>
              <w:autoSpaceDE w:val="0"/>
              <w:autoSpaceDN w:val="0"/>
              <w:adjustRightInd w:val="0"/>
              <w:jc w:val="right"/>
              <w:rPr>
                <w:lang w:val="uk-UA"/>
              </w:rPr>
            </w:pPr>
          </w:p>
        </w:tc>
        <w:tc>
          <w:tcPr>
            <w:tcW w:w="4640" w:type="dxa"/>
            <w:gridSpan w:val="3"/>
            <w:shd w:val="clear" w:color="auto" w:fill="auto"/>
          </w:tcPr>
          <w:p w:rsidR="0091099B" w:rsidRPr="00965753" w:rsidRDefault="0091099B" w:rsidP="002F0B98">
            <w:pPr>
              <w:widowControl w:val="0"/>
              <w:tabs>
                <w:tab w:val="left" w:pos="8447"/>
              </w:tabs>
              <w:autoSpaceDE w:val="0"/>
              <w:autoSpaceDN w:val="0"/>
              <w:adjustRightInd w:val="0"/>
              <w:jc w:val="center"/>
              <w:rPr>
                <w:sz w:val="28"/>
                <w:szCs w:val="28"/>
                <w:lang w:val="uk-UA"/>
              </w:rPr>
            </w:pPr>
          </w:p>
        </w:tc>
      </w:tr>
      <w:tr w:rsidR="0062209D" w:rsidRPr="00965753" w:rsidTr="006D6F5D">
        <w:tblPrEx>
          <w:jc w:val="left"/>
        </w:tblPrEx>
        <w:trPr>
          <w:gridAfter w:val="1"/>
          <w:wAfter w:w="313" w:type="dxa"/>
          <w:trHeight w:val="3543"/>
        </w:trPr>
        <w:tc>
          <w:tcPr>
            <w:tcW w:w="9744" w:type="dxa"/>
            <w:gridSpan w:val="7"/>
          </w:tcPr>
          <w:p w:rsidR="009775E8" w:rsidRPr="00965753" w:rsidRDefault="009775E8" w:rsidP="002F0B98">
            <w:pPr>
              <w:autoSpaceDE w:val="0"/>
              <w:autoSpaceDN w:val="0"/>
              <w:adjustRightInd w:val="0"/>
              <w:ind w:firstLine="709"/>
              <w:jc w:val="both"/>
              <w:rPr>
                <w:sz w:val="28"/>
                <w:szCs w:val="28"/>
                <w:lang w:val="uk-UA"/>
              </w:rPr>
            </w:pPr>
            <w:r w:rsidRPr="00965753">
              <w:rPr>
                <w:sz w:val="28"/>
                <w:szCs w:val="28"/>
                <w:lang w:val="uk-UA"/>
              </w:rPr>
              <w:t>Відповідно до стат</w:t>
            </w:r>
            <w:r w:rsidR="00FA7F64">
              <w:rPr>
                <w:sz w:val="28"/>
                <w:szCs w:val="28"/>
                <w:lang w:val="uk-UA"/>
              </w:rPr>
              <w:t xml:space="preserve">ті 284 </w:t>
            </w:r>
            <w:bookmarkStart w:id="0" w:name="_GoBack"/>
            <w:bookmarkEnd w:id="0"/>
            <w:r w:rsidRPr="00965753">
              <w:rPr>
                <w:sz w:val="28"/>
                <w:szCs w:val="28"/>
                <w:lang w:val="uk-UA"/>
              </w:rPr>
              <w:t xml:space="preserve">Податкового кодексу України, </w:t>
            </w:r>
            <w:r w:rsidR="00CD38A2">
              <w:rPr>
                <w:sz w:val="28"/>
                <w:szCs w:val="28"/>
                <w:lang w:val="uk-UA"/>
              </w:rPr>
              <w:t>п</w:t>
            </w:r>
            <w:r w:rsidRPr="00965753">
              <w:rPr>
                <w:sz w:val="28"/>
                <w:szCs w:val="28"/>
                <w:lang w:val="uk-UA"/>
              </w:rPr>
              <w:t xml:space="preserve">останови Кабінету Міністрів України від 24.05.2017 № 483 «Про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w:t>
            </w:r>
            <w:r w:rsidR="00805513" w:rsidRPr="00965753">
              <w:rPr>
                <w:sz w:val="28"/>
                <w:szCs w:val="28"/>
                <w:lang w:val="uk-UA"/>
              </w:rPr>
              <w:t>Закону</w:t>
            </w:r>
            <w:r w:rsidRPr="00965753">
              <w:rPr>
                <w:sz w:val="28"/>
                <w:szCs w:val="28"/>
                <w:lang w:val="uk-UA"/>
              </w:rPr>
              <w:t xml:space="preserve"> України «Про засади державної регуляторної політики у сфері господарської діяльності»,</w:t>
            </w:r>
            <w:r w:rsidR="00805513" w:rsidRPr="00965753">
              <w:rPr>
                <w:sz w:val="28"/>
                <w:szCs w:val="28"/>
                <w:lang w:val="uk-UA"/>
              </w:rPr>
              <w:t xml:space="preserve"> </w:t>
            </w:r>
            <w:r w:rsidR="00805513" w:rsidRPr="00965753">
              <w:rPr>
                <w:rFonts w:eastAsiaTheme="minorHAnsi"/>
                <w:sz w:val="28"/>
                <w:szCs w:val="28"/>
                <w:lang w:val="uk-UA" w:eastAsia="en-US"/>
              </w:rPr>
              <w:t>Закону України «Про державну допомогу суб’єктам господарювання», Закону України «Про захист економічної конкуренції»,</w:t>
            </w:r>
            <w:r w:rsidR="00F70EA6" w:rsidRPr="00965753">
              <w:rPr>
                <w:rFonts w:eastAsiaTheme="minorHAnsi"/>
                <w:sz w:val="28"/>
                <w:szCs w:val="28"/>
                <w:lang w:val="uk-UA" w:eastAsia="en-US"/>
              </w:rPr>
              <w:t xml:space="preserve"> </w:t>
            </w:r>
            <w:r w:rsidR="003B4C81" w:rsidRPr="00965753">
              <w:rPr>
                <w:rFonts w:eastAsiaTheme="minorHAnsi"/>
                <w:sz w:val="28"/>
                <w:szCs w:val="28"/>
                <w:lang w:val="uk-UA" w:eastAsia="en-US"/>
              </w:rPr>
              <w:t>Закону України «Про добровільне об’єднання територіальних громад»</w:t>
            </w:r>
            <w:r w:rsidR="00CD38A2">
              <w:rPr>
                <w:rFonts w:eastAsiaTheme="minorHAnsi"/>
                <w:sz w:val="28"/>
                <w:szCs w:val="28"/>
                <w:lang w:val="uk-UA" w:eastAsia="en-US"/>
              </w:rPr>
              <w:t>,</w:t>
            </w:r>
            <w:r w:rsidR="003B4C81" w:rsidRPr="00965753">
              <w:rPr>
                <w:rFonts w:eastAsiaTheme="minorHAnsi"/>
                <w:sz w:val="28"/>
                <w:szCs w:val="28"/>
                <w:lang w:val="uk-UA" w:eastAsia="en-US"/>
              </w:rPr>
              <w:t xml:space="preserve"> </w:t>
            </w:r>
            <w:r w:rsidR="00CD38A2" w:rsidRPr="00965753">
              <w:rPr>
                <w:sz w:val="28"/>
                <w:szCs w:val="28"/>
                <w:lang w:val="uk-UA"/>
              </w:rPr>
              <w:t xml:space="preserve">рішення Антимонопольного комітету України від </w:t>
            </w:r>
            <w:r w:rsidR="00F4229C">
              <w:rPr>
                <w:sz w:val="28"/>
                <w:szCs w:val="28"/>
                <w:lang w:val="uk-UA"/>
              </w:rPr>
              <w:t>23</w:t>
            </w:r>
            <w:r w:rsidR="00CD38A2" w:rsidRPr="00965753">
              <w:rPr>
                <w:sz w:val="28"/>
                <w:szCs w:val="28"/>
                <w:lang w:val="uk-UA"/>
              </w:rPr>
              <w:t xml:space="preserve"> </w:t>
            </w:r>
            <w:r w:rsidR="00F4229C">
              <w:rPr>
                <w:sz w:val="28"/>
                <w:szCs w:val="28"/>
                <w:lang w:val="uk-UA"/>
              </w:rPr>
              <w:t>січня 2020</w:t>
            </w:r>
            <w:r w:rsidR="00CD38A2" w:rsidRPr="00965753">
              <w:rPr>
                <w:sz w:val="28"/>
                <w:szCs w:val="28"/>
                <w:lang w:val="uk-UA"/>
              </w:rPr>
              <w:t xml:space="preserve"> року № </w:t>
            </w:r>
            <w:r w:rsidR="00F4229C">
              <w:rPr>
                <w:sz w:val="28"/>
                <w:szCs w:val="28"/>
                <w:lang w:val="uk-UA"/>
              </w:rPr>
              <w:t>46</w:t>
            </w:r>
            <w:r w:rsidR="00CD38A2" w:rsidRPr="00965753">
              <w:rPr>
                <w:sz w:val="28"/>
                <w:szCs w:val="28"/>
                <w:lang w:val="uk-UA"/>
              </w:rPr>
              <w:t>-р «Про розгляд справи про державну допомогу»</w:t>
            </w:r>
            <w:r w:rsidR="00CD38A2">
              <w:rPr>
                <w:sz w:val="28"/>
                <w:szCs w:val="28"/>
                <w:lang w:val="uk-UA"/>
              </w:rPr>
              <w:t xml:space="preserve">, </w:t>
            </w:r>
            <w:r w:rsidR="00CD38A2" w:rsidRPr="00965753">
              <w:rPr>
                <w:sz w:val="28"/>
                <w:szCs w:val="28"/>
                <w:lang w:val="uk-UA"/>
              </w:rPr>
              <w:t xml:space="preserve">керуючись </w:t>
            </w:r>
            <w:r w:rsidR="003F5193">
              <w:rPr>
                <w:sz w:val="28"/>
                <w:szCs w:val="28"/>
                <w:lang w:val="uk-UA"/>
              </w:rPr>
              <w:t xml:space="preserve"> </w:t>
            </w:r>
            <w:r w:rsidR="00CD38A2" w:rsidRPr="00965753">
              <w:rPr>
                <w:sz w:val="28"/>
                <w:szCs w:val="28"/>
                <w:lang w:val="uk-UA"/>
              </w:rPr>
              <w:t>частин</w:t>
            </w:r>
            <w:r w:rsidR="003F5193">
              <w:rPr>
                <w:sz w:val="28"/>
                <w:szCs w:val="28"/>
                <w:lang w:val="uk-UA"/>
              </w:rPr>
              <w:t>ою</w:t>
            </w:r>
            <w:r w:rsidR="00CD38A2" w:rsidRPr="00965753">
              <w:rPr>
                <w:sz w:val="28"/>
                <w:szCs w:val="28"/>
                <w:lang w:val="uk-UA"/>
              </w:rPr>
              <w:t xml:space="preserve"> 1 статті 26 Закону України «Про місцеве самоврядування в Україні»</w:t>
            </w:r>
            <w:r w:rsidR="00CD38A2">
              <w:rPr>
                <w:sz w:val="28"/>
                <w:szCs w:val="28"/>
                <w:lang w:val="uk-UA"/>
              </w:rPr>
              <w:t xml:space="preserve">,  </w:t>
            </w:r>
            <w:r w:rsidR="00805513" w:rsidRPr="00965753">
              <w:rPr>
                <w:b/>
                <w:sz w:val="28"/>
                <w:szCs w:val="28"/>
                <w:lang w:val="uk-UA"/>
              </w:rPr>
              <w:t>Сумська міська рада</w:t>
            </w:r>
          </w:p>
          <w:p w:rsidR="0062209D" w:rsidRPr="00965753" w:rsidRDefault="0062209D" w:rsidP="002F0B98">
            <w:pPr>
              <w:jc w:val="both"/>
              <w:rPr>
                <w:sz w:val="28"/>
                <w:szCs w:val="28"/>
                <w:lang w:val="uk-UA"/>
              </w:rPr>
            </w:pPr>
          </w:p>
        </w:tc>
      </w:tr>
      <w:tr w:rsidR="0062209D" w:rsidRPr="00965753" w:rsidTr="006D6F5D">
        <w:tblPrEx>
          <w:jc w:val="left"/>
        </w:tblPrEx>
        <w:trPr>
          <w:gridAfter w:val="1"/>
          <w:wAfter w:w="313" w:type="dxa"/>
          <w:trHeight w:val="4361"/>
        </w:trPr>
        <w:tc>
          <w:tcPr>
            <w:tcW w:w="9744" w:type="dxa"/>
            <w:gridSpan w:val="7"/>
          </w:tcPr>
          <w:p w:rsidR="0062209D" w:rsidRPr="00965753" w:rsidRDefault="0062209D" w:rsidP="002F0B98">
            <w:pPr>
              <w:widowControl w:val="0"/>
              <w:tabs>
                <w:tab w:val="left" w:pos="566"/>
              </w:tabs>
              <w:autoSpaceDE w:val="0"/>
              <w:autoSpaceDN w:val="0"/>
              <w:adjustRightInd w:val="0"/>
              <w:ind w:firstLine="3578"/>
              <w:rPr>
                <w:b/>
                <w:bCs/>
                <w:sz w:val="28"/>
                <w:szCs w:val="28"/>
                <w:lang w:val="uk-UA"/>
              </w:rPr>
            </w:pPr>
            <w:r w:rsidRPr="00965753">
              <w:rPr>
                <w:b/>
                <w:bCs/>
                <w:sz w:val="28"/>
                <w:szCs w:val="28"/>
                <w:lang w:val="uk-UA"/>
              </w:rPr>
              <w:t>ВИРІШИЛА:</w:t>
            </w:r>
          </w:p>
          <w:p w:rsidR="00E11EC8" w:rsidRPr="00965753" w:rsidRDefault="00E11EC8" w:rsidP="002F0B98">
            <w:pPr>
              <w:widowControl w:val="0"/>
              <w:tabs>
                <w:tab w:val="left" w:pos="566"/>
              </w:tabs>
              <w:autoSpaceDE w:val="0"/>
              <w:autoSpaceDN w:val="0"/>
              <w:adjustRightInd w:val="0"/>
              <w:ind w:firstLine="3578"/>
              <w:rPr>
                <w:b/>
                <w:bCs/>
                <w:sz w:val="28"/>
                <w:szCs w:val="28"/>
                <w:lang w:val="uk-UA"/>
              </w:rPr>
            </w:pPr>
          </w:p>
          <w:p w:rsidR="0016583F" w:rsidRDefault="000560B3" w:rsidP="000F750B">
            <w:pPr>
              <w:widowControl w:val="0"/>
              <w:tabs>
                <w:tab w:val="left" w:pos="696"/>
              </w:tabs>
              <w:autoSpaceDE w:val="0"/>
              <w:autoSpaceDN w:val="0"/>
              <w:adjustRightInd w:val="0"/>
              <w:ind w:firstLine="851"/>
              <w:jc w:val="both"/>
              <w:rPr>
                <w:sz w:val="28"/>
                <w:szCs w:val="28"/>
                <w:lang w:val="uk-UA"/>
              </w:rPr>
            </w:pPr>
            <w:r w:rsidRPr="00965753">
              <w:rPr>
                <w:sz w:val="28"/>
                <w:szCs w:val="28"/>
                <w:lang w:val="uk-UA"/>
              </w:rPr>
              <w:t xml:space="preserve">1. </w:t>
            </w:r>
            <w:r w:rsidR="00440D90">
              <w:rPr>
                <w:sz w:val="28"/>
                <w:szCs w:val="28"/>
                <w:lang w:val="uk-UA"/>
              </w:rPr>
              <w:t xml:space="preserve"> </w:t>
            </w:r>
            <w:proofErr w:type="spellStart"/>
            <w:r w:rsidR="00440D90">
              <w:rPr>
                <w:sz w:val="28"/>
                <w:szCs w:val="28"/>
                <w:lang w:val="uk-UA"/>
              </w:rPr>
              <w:t>Внести</w:t>
            </w:r>
            <w:proofErr w:type="spellEnd"/>
            <w:r w:rsidR="00440D90">
              <w:rPr>
                <w:sz w:val="28"/>
                <w:szCs w:val="28"/>
                <w:lang w:val="uk-UA"/>
              </w:rPr>
              <w:t xml:space="preserve"> зміни </w:t>
            </w:r>
            <w:r w:rsidR="00440D90" w:rsidRPr="00965753">
              <w:rPr>
                <w:sz w:val="28"/>
                <w:szCs w:val="28"/>
                <w:lang w:val="uk-UA"/>
              </w:rPr>
              <w:t xml:space="preserve">до  рішення Сумської міської ради від </w:t>
            </w:r>
            <w:r w:rsidR="00F4229C">
              <w:rPr>
                <w:sz w:val="28"/>
                <w:szCs w:val="28"/>
                <w:lang w:val="uk-UA"/>
              </w:rPr>
              <w:t>19</w:t>
            </w:r>
            <w:r w:rsidR="00440D90" w:rsidRPr="00965753">
              <w:rPr>
                <w:sz w:val="28"/>
                <w:szCs w:val="28"/>
                <w:lang w:val="uk-UA"/>
              </w:rPr>
              <w:t xml:space="preserve"> червня </w:t>
            </w:r>
            <w:r w:rsidR="00440D90">
              <w:rPr>
                <w:sz w:val="28"/>
                <w:szCs w:val="28"/>
                <w:lang w:val="uk-UA"/>
              </w:rPr>
              <w:t xml:space="preserve">          </w:t>
            </w:r>
            <w:r w:rsidR="00440D90" w:rsidRPr="00965753">
              <w:rPr>
                <w:sz w:val="28"/>
                <w:szCs w:val="28"/>
                <w:lang w:val="uk-UA"/>
              </w:rPr>
              <w:t>201</w:t>
            </w:r>
            <w:r w:rsidR="00F4229C">
              <w:rPr>
                <w:sz w:val="28"/>
                <w:szCs w:val="28"/>
                <w:lang w:val="uk-UA"/>
              </w:rPr>
              <w:t>9</w:t>
            </w:r>
            <w:r w:rsidR="00440D90" w:rsidRPr="00965753">
              <w:rPr>
                <w:sz w:val="28"/>
                <w:szCs w:val="28"/>
                <w:lang w:val="uk-UA"/>
              </w:rPr>
              <w:t xml:space="preserve"> року</w:t>
            </w:r>
            <w:r w:rsidR="00440D90">
              <w:rPr>
                <w:sz w:val="28"/>
                <w:szCs w:val="28"/>
                <w:lang w:val="uk-UA"/>
              </w:rPr>
              <w:t xml:space="preserve"> </w:t>
            </w:r>
            <w:r w:rsidR="00440D90" w:rsidRPr="00965753">
              <w:rPr>
                <w:sz w:val="28"/>
                <w:szCs w:val="28"/>
                <w:lang w:val="uk-UA"/>
              </w:rPr>
              <w:t xml:space="preserve">№  </w:t>
            </w:r>
            <w:r w:rsidR="00F4229C">
              <w:rPr>
                <w:sz w:val="28"/>
                <w:szCs w:val="28"/>
                <w:lang w:val="uk-UA"/>
              </w:rPr>
              <w:t>5298</w:t>
            </w:r>
            <w:r w:rsidR="00440D90" w:rsidRPr="00965753">
              <w:rPr>
                <w:sz w:val="28"/>
                <w:szCs w:val="28"/>
                <w:lang w:val="uk-UA"/>
              </w:rPr>
              <w:t>–МР   «Про   вст</w:t>
            </w:r>
            <w:r w:rsidR="00F4229C">
              <w:rPr>
                <w:sz w:val="28"/>
                <w:szCs w:val="28"/>
                <w:lang w:val="uk-UA"/>
              </w:rPr>
              <w:t>ановлення   плати   за   землю»</w:t>
            </w:r>
            <w:r w:rsidR="00440D90" w:rsidRPr="00965753">
              <w:rPr>
                <w:sz w:val="28"/>
                <w:szCs w:val="28"/>
                <w:lang w:val="uk-UA"/>
              </w:rPr>
              <w:t>,</w:t>
            </w:r>
            <w:r w:rsidR="0016583F">
              <w:rPr>
                <w:sz w:val="28"/>
                <w:szCs w:val="28"/>
                <w:lang w:val="uk-UA"/>
              </w:rPr>
              <w:t xml:space="preserve"> а саме:</w:t>
            </w:r>
          </w:p>
          <w:p w:rsidR="0016583F" w:rsidRDefault="0016583F" w:rsidP="000F750B">
            <w:pPr>
              <w:widowControl w:val="0"/>
              <w:tabs>
                <w:tab w:val="left" w:pos="696"/>
              </w:tabs>
              <w:autoSpaceDE w:val="0"/>
              <w:autoSpaceDN w:val="0"/>
              <w:adjustRightInd w:val="0"/>
              <w:ind w:firstLine="851"/>
              <w:jc w:val="both"/>
              <w:rPr>
                <w:sz w:val="28"/>
                <w:szCs w:val="28"/>
                <w:lang w:val="uk-UA"/>
              </w:rPr>
            </w:pPr>
            <w:r>
              <w:rPr>
                <w:sz w:val="28"/>
                <w:szCs w:val="28"/>
                <w:lang w:val="uk-UA"/>
              </w:rPr>
              <w:t xml:space="preserve">1.1 </w:t>
            </w:r>
            <w:r w:rsidR="00190E88">
              <w:rPr>
                <w:sz w:val="28"/>
                <w:szCs w:val="28"/>
                <w:lang w:val="uk-UA"/>
              </w:rPr>
              <w:t xml:space="preserve">викласти в новій редакції пункт 3 </w:t>
            </w:r>
            <w:r w:rsidR="00257A57">
              <w:rPr>
                <w:sz w:val="28"/>
                <w:szCs w:val="28"/>
                <w:lang w:val="uk-UA"/>
              </w:rPr>
              <w:t>Додатку 2 до</w:t>
            </w:r>
            <w:r w:rsidR="007D3BD0">
              <w:rPr>
                <w:sz w:val="28"/>
                <w:szCs w:val="28"/>
                <w:lang w:val="uk-UA"/>
              </w:rPr>
              <w:t xml:space="preserve"> рішення</w:t>
            </w:r>
            <w:r>
              <w:rPr>
                <w:sz w:val="28"/>
                <w:szCs w:val="28"/>
                <w:lang w:val="uk-UA"/>
              </w:rPr>
              <w:t xml:space="preserve"> </w:t>
            </w:r>
            <w:r w:rsidR="002B3FDE" w:rsidRPr="00965753">
              <w:rPr>
                <w:sz w:val="28"/>
                <w:szCs w:val="28"/>
                <w:lang w:val="uk-UA"/>
              </w:rPr>
              <w:t>після таблиці</w:t>
            </w:r>
            <w:r w:rsidR="00AC36EC" w:rsidRPr="00AC36EC">
              <w:rPr>
                <w:sz w:val="28"/>
                <w:szCs w:val="28"/>
                <w:lang w:val="uk-UA"/>
              </w:rPr>
              <w:t xml:space="preserve"> </w:t>
            </w:r>
            <w:r w:rsidR="00B00807" w:rsidRPr="00965753">
              <w:rPr>
                <w:sz w:val="28"/>
                <w:szCs w:val="28"/>
                <w:lang w:val="uk-UA"/>
              </w:rPr>
              <w:t xml:space="preserve">«Перелік пільг для фізичних та юридичних осіб, наданих відповідно до пункту 284.1 статті 284 Податкового кодексу України, </w:t>
            </w:r>
            <w:r w:rsidR="000F750B">
              <w:rPr>
                <w:sz w:val="28"/>
                <w:szCs w:val="28"/>
                <w:lang w:val="uk-UA"/>
              </w:rPr>
              <w:t>зі</w:t>
            </w:r>
            <w:r w:rsidR="00B00807" w:rsidRPr="00965753">
              <w:rPr>
                <w:sz w:val="28"/>
                <w:szCs w:val="28"/>
                <w:lang w:val="uk-UA"/>
              </w:rPr>
              <w:t xml:space="preserve"> сплати земельного податку»</w:t>
            </w:r>
            <w:r>
              <w:rPr>
                <w:sz w:val="28"/>
                <w:szCs w:val="28"/>
                <w:lang w:val="uk-UA"/>
              </w:rPr>
              <w:t>:</w:t>
            </w:r>
          </w:p>
          <w:p w:rsidR="0016583F" w:rsidRPr="00CC7504" w:rsidRDefault="0016583F" w:rsidP="0016583F">
            <w:pPr>
              <w:pStyle w:val="Default"/>
              <w:ind w:firstLine="708"/>
              <w:jc w:val="both"/>
              <w:rPr>
                <w:sz w:val="28"/>
                <w:szCs w:val="28"/>
                <w:lang w:val="uk-UA"/>
              </w:rPr>
            </w:pPr>
            <w:r>
              <w:rPr>
                <w:sz w:val="28"/>
                <w:szCs w:val="28"/>
                <w:lang w:val="uk-UA"/>
              </w:rPr>
              <w:t xml:space="preserve">«3. </w:t>
            </w:r>
            <w:r w:rsidRPr="00CC7504">
              <w:rPr>
                <w:sz w:val="28"/>
                <w:szCs w:val="28"/>
                <w:lang w:val="uk-UA"/>
              </w:rPr>
              <w:t xml:space="preserve">Допомога для суб’єктів господарювання, </w:t>
            </w:r>
            <w:r w:rsidRPr="0016583F">
              <w:rPr>
                <w:sz w:val="28"/>
                <w:szCs w:val="28"/>
                <w:lang w:val="uk-UA"/>
              </w:rPr>
              <w:t>які здійснюють діяльність у сфері спорту та багатофункціональної рекреаційної інфраструктури</w:t>
            </w:r>
            <w:r>
              <w:rPr>
                <w:sz w:val="28"/>
                <w:szCs w:val="28"/>
                <w:lang w:val="uk-UA"/>
              </w:rPr>
              <w:t xml:space="preserve">, </w:t>
            </w:r>
            <w:r w:rsidRPr="0016583F">
              <w:rPr>
                <w:sz w:val="28"/>
                <w:szCs w:val="28"/>
                <w:lang w:val="uk-UA"/>
              </w:rPr>
              <w:t>для суб’єктів господарювання, які здійснюють діяльність у сфері культури, збереження спадщини</w:t>
            </w:r>
            <w:r>
              <w:rPr>
                <w:sz w:val="28"/>
                <w:szCs w:val="28"/>
                <w:lang w:val="uk-UA"/>
              </w:rPr>
              <w:t xml:space="preserve">, </w:t>
            </w:r>
            <w:r w:rsidRPr="00CC7504">
              <w:rPr>
                <w:sz w:val="28"/>
                <w:szCs w:val="28"/>
                <w:lang w:val="uk-UA"/>
              </w:rPr>
              <w:t xml:space="preserve">може надаватись у формі: </w:t>
            </w:r>
          </w:p>
          <w:p w:rsidR="0016583F" w:rsidRPr="00DE31B3" w:rsidRDefault="0016583F" w:rsidP="0016583F">
            <w:pPr>
              <w:autoSpaceDE w:val="0"/>
              <w:autoSpaceDN w:val="0"/>
              <w:adjustRightInd w:val="0"/>
              <w:jc w:val="both"/>
              <w:rPr>
                <w:rFonts w:eastAsia="Calibri"/>
                <w:color w:val="000000"/>
                <w:sz w:val="28"/>
                <w:szCs w:val="28"/>
                <w:lang w:val="uk-UA" w:eastAsia="en-US"/>
              </w:rPr>
            </w:pPr>
            <w:r w:rsidRPr="00DE31B3">
              <w:rPr>
                <w:rFonts w:eastAsia="Calibri"/>
                <w:color w:val="000000"/>
                <w:sz w:val="28"/>
                <w:szCs w:val="28"/>
                <w:lang w:val="uk-UA" w:eastAsia="en-US"/>
              </w:rPr>
              <w:t xml:space="preserve">        </w:t>
            </w:r>
            <w:r>
              <w:rPr>
                <w:rFonts w:eastAsia="Calibri"/>
                <w:color w:val="000000"/>
                <w:sz w:val="28"/>
                <w:szCs w:val="28"/>
                <w:lang w:val="uk-UA" w:eastAsia="en-US"/>
              </w:rPr>
              <w:t xml:space="preserve">    </w:t>
            </w:r>
            <w:r w:rsidRPr="00DE31B3">
              <w:rPr>
                <w:rFonts w:eastAsia="Calibri"/>
                <w:color w:val="000000"/>
                <w:sz w:val="28"/>
                <w:szCs w:val="28"/>
                <w:lang w:val="uk-UA" w:eastAsia="en-US"/>
              </w:rPr>
              <w:t xml:space="preserve">1) інвестиційної допомоги, включаючи допомогу на будівництво та модернізацію культурної інфраструктури. Прийнятними витратами на інвестиційну допомогу є інвестиційні витрати з матеріальних та нематеріальних активів, у тому числі: </w:t>
            </w:r>
          </w:p>
          <w:p w:rsidR="0016583F" w:rsidRPr="00DE31B3" w:rsidRDefault="0016583F" w:rsidP="0016583F">
            <w:pPr>
              <w:autoSpaceDE w:val="0"/>
              <w:autoSpaceDN w:val="0"/>
              <w:adjustRightInd w:val="0"/>
              <w:jc w:val="both"/>
              <w:rPr>
                <w:rFonts w:eastAsia="Calibri"/>
                <w:color w:val="000000"/>
                <w:sz w:val="28"/>
                <w:szCs w:val="28"/>
                <w:lang w:val="uk-UA" w:eastAsia="en-US"/>
              </w:rPr>
            </w:pPr>
            <w:r w:rsidRPr="00DE31B3">
              <w:rPr>
                <w:rFonts w:eastAsia="Calibri"/>
                <w:color w:val="000000"/>
                <w:sz w:val="28"/>
                <w:szCs w:val="28"/>
                <w:lang w:val="uk-UA" w:eastAsia="en-US"/>
              </w:rPr>
              <w:lastRenderedPageBreak/>
              <w:t xml:space="preserve">          витрати на будівництво, модернізацію, придбання, збереження та вдосконалення інфраструктури, якщо для культурних цілей використовується щонайменше 80 % часу або пропускної здатності на рік; </w:t>
            </w:r>
          </w:p>
          <w:p w:rsidR="0016583F" w:rsidRPr="00DE31B3" w:rsidRDefault="0016583F" w:rsidP="0016583F">
            <w:pPr>
              <w:autoSpaceDE w:val="0"/>
              <w:autoSpaceDN w:val="0"/>
              <w:adjustRightInd w:val="0"/>
              <w:jc w:val="both"/>
              <w:rPr>
                <w:rFonts w:eastAsia="Calibri"/>
                <w:color w:val="000000"/>
                <w:sz w:val="28"/>
                <w:szCs w:val="28"/>
                <w:lang w:val="uk-UA" w:eastAsia="en-US"/>
              </w:rPr>
            </w:pPr>
            <w:r w:rsidRPr="00DE31B3">
              <w:rPr>
                <w:rFonts w:eastAsia="Calibri"/>
                <w:color w:val="000000"/>
                <w:sz w:val="28"/>
                <w:szCs w:val="28"/>
                <w:lang w:val="uk-UA" w:eastAsia="en-US"/>
              </w:rPr>
              <w:t xml:space="preserve">          витрати на придбання, включаючи лізинг, передачу володіння або фізичне переміщення культурної спадщини; </w:t>
            </w:r>
          </w:p>
          <w:p w:rsidR="0016583F" w:rsidRPr="00DE31B3" w:rsidRDefault="0016583F" w:rsidP="0016583F">
            <w:pPr>
              <w:autoSpaceDE w:val="0"/>
              <w:autoSpaceDN w:val="0"/>
              <w:adjustRightInd w:val="0"/>
              <w:jc w:val="both"/>
              <w:rPr>
                <w:rFonts w:eastAsia="Calibri"/>
                <w:color w:val="000000"/>
                <w:sz w:val="28"/>
                <w:szCs w:val="28"/>
                <w:lang w:val="uk-UA" w:eastAsia="en-US"/>
              </w:rPr>
            </w:pPr>
            <w:r w:rsidRPr="00DE31B3">
              <w:rPr>
                <w:rFonts w:eastAsia="Calibri"/>
                <w:color w:val="000000"/>
                <w:sz w:val="28"/>
                <w:szCs w:val="28"/>
                <w:lang w:val="uk-UA" w:eastAsia="en-US"/>
              </w:rPr>
              <w:t xml:space="preserve">          витрати на охорону, збереження і відновлення матеріальної та нематеріальної культурної спадщини, включаючи додаткові витрати на зберігання на відповідних умовах, спеціальні інструменти, матеріали та витрати на документацію, дослідження, </w:t>
            </w:r>
            <w:proofErr w:type="spellStart"/>
            <w:r w:rsidRPr="00DE31B3">
              <w:rPr>
                <w:rFonts w:eastAsia="Calibri"/>
                <w:color w:val="000000"/>
                <w:sz w:val="28"/>
                <w:szCs w:val="28"/>
                <w:lang w:val="uk-UA" w:eastAsia="en-US"/>
              </w:rPr>
              <w:t>цифровізацію</w:t>
            </w:r>
            <w:proofErr w:type="spellEnd"/>
            <w:r w:rsidRPr="00DE31B3">
              <w:rPr>
                <w:rFonts w:eastAsia="Calibri"/>
                <w:color w:val="000000"/>
                <w:sz w:val="28"/>
                <w:szCs w:val="28"/>
                <w:lang w:val="uk-UA" w:eastAsia="en-US"/>
              </w:rPr>
              <w:t xml:space="preserve"> та публікацію; </w:t>
            </w:r>
          </w:p>
          <w:p w:rsidR="0016583F" w:rsidRPr="00DE31B3" w:rsidRDefault="0016583F" w:rsidP="0016583F">
            <w:pPr>
              <w:autoSpaceDE w:val="0"/>
              <w:autoSpaceDN w:val="0"/>
              <w:adjustRightInd w:val="0"/>
              <w:jc w:val="both"/>
              <w:rPr>
                <w:rFonts w:eastAsia="Calibri"/>
                <w:color w:val="000000"/>
                <w:sz w:val="28"/>
                <w:szCs w:val="28"/>
                <w:lang w:val="uk-UA" w:eastAsia="en-US"/>
              </w:rPr>
            </w:pPr>
            <w:r w:rsidRPr="00DE31B3">
              <w:rPr>
                <w:rFonts w:eastAsia="Calibri"/>
                <w:color w:val="000000"/>
                <w:sz w:val="28"/>
                <w:szCs w:val="28"/>
                <w:lang w:val="uk-UA" w:eastAsia="en-US"/>
              </w:rPr>
              <w:t xml:space="preserve">          витрати на покращення доступності культурної спадщини для громадськості, включаючи витрати на </w:t>
            </w:r>
            <w:proofErr w:type="spellStart"/>
            <w:r w:rsidRPr="00DE31B3">
              <w:rPr>
                <w:rFonts w:eastAsia="Calibri"/>
                <w:color w:val="000000"/>
                <w:sz w:val="28"/>
                <w:szCs w:val="28"/>
                <w:lang w:val="uk-UA" w:eastAsia="en-US"/>
              </w:rPr>
              <w:t>оцифрування</w:t>
            </w:r>
            <w:proofErr w:type="spellEnd"/>
            <w:r w:rsidRPr="00DE31B3">
              <w:rPr>
                <w:rFonts w:eastAsia="Calibri"/>
                <w:color w:val="000000"/>
                <w:sz w:val="28"/>
                <w:szCs w:val="28"/>
                <w:lang w:val="uk-UA" w:eastAsia="en-US"/>
              </w:rPr>
              <w:t xml:space="preserve"> та інші нові технології,             витрати на поліпшення доступності для людей з особливими потребами (зокрема, рампи та ліфти для людей з обмеженими фізичними можливостями, позначення </w:t>
            </w:r>
            <w:proofErr w:type="spellStart"/>
            <w:r w:rsidRPr="00DE31B3">
              <w:rPr>
                <w:rFonts w:eastAsia="Calibri"/>
                <w:color w:val="000000"/>
                <w:sz w:val="28"/>
                <w:szCs w:val="28"/>
                <w:lang w:val="uk-UA" w:eastAsia="en-US"/>
              </w:rPr>
              <w:t>Брайля</w:t>
            </w:r>
            <w:proofErr w:type="spellEnd"/>
            <w:r w:rsidRPr="00DE31B3">
              <w:rPr>
                <w:rFonts w:eastAsia="Calibri"/>
                <w:color w:val="000000"/>
                <w:sz w:val="28"/>
                <w:szCs w:val="28"/>
                <w:lang w:val="uk-UA" w:eastAsia="en-US"/>
              </w:rPr>
              <w:t xml:space="preserve"> та практичні експонати в музеях) та заохочення культурного розмаїття щодо презентацій, програм та відвідувачів; </w:t>
            </w:r>
          </w:p>
          <w:p w:rsidR="0016583F" w:rsidRPr="00DE31B3" w:rsidRDefault="0016583F" w:rsidP="0016583F">
            <w:pPr>
              <w:autoSpaceDE w:val="0"/>
              <w:autoSpaceDN w:val="0"/>
              <w:adjustRightInd w:val="0"/>
              <w:jc w:val="both"/>
              <w:rPr>
                <w:rFonts w:eastAsia="Calibri"/>
                <w:color w:val="000000"/>
                <w:sz w:val="28"/>
                <w:szCs w:val="28"/>
                <w:lang w:val="uk-UA" w:eastAsia="en-US"/>
              </w:rPr>
            </w:pPr>
            <w:r w:rsidRPr="00DE31B3">
              <w:rPr>
                <w:rFonts w:eastAsia="Calibri"/>
                <w:color w:val="000000"/>
                <w:sz w:val="28"/>
                <w:szCs w:val="28"/>
                <w:lang w:val="uk-UA" w:eastAsia="en-US"/>
              </w:rPr>
              <w:t xml:space="preserve">          витрати на культурні </w:t>
            </w:r>
            <w:proofErr w:type="spellStart"/>
            <w:r w:rsidRPr="00DE31B3">
              <w:rPr>
                <w:rFonts w:eastAsia="Calibri"/>
                <w:color w:val="000000"/>
                <w:sz w:val="28"/>
                <w:szCs w:val="28"/>
                <w:lang w:val="uk-UA" w:eastAsia="en-US"/>
              </w:rPr>
              <w:t>проєкти</w:t>
            </w:r>
            <w:proofErr w:type="spellEnd"/>
            <w:r w:rsidRPr="00DE31B3">
              <w:rPr>
                <w:rFonts w:eastAsia="Calibri"/>
                <w:color w:val="000000"/>
                <w:sz w:val="28"/>
                <w:szCs w:val="28"/>
                <w:lang w:val="uk-UA" w:eastAsia="en-US"/>
              </w:rPr>
              <w:t xml:space="preserve"> та заходи, програми співпраці та обміну, а також гранти, включаючи витрати на процедури відбору, витрати на просування та витрати, без</w:t>
            </w:r>
            <w:r w:rsidR="00264F5C">
              <w:rPr>
                <w:rFonts w:eastAsia="Calibri"/>
                <w:color w:val="000000"/>
                <w:sz w:val="28"/>
                <w:szCs w:val="28"/>
                <w:lang w:val="uk-UA" w:eastAsia="en-US"/>
              </w:rPr>
              <w:t xml:space="preserve">посередньо пов’язані з </w:t>
            </w:r>
            <w:proofErr w:type="spellStart"/>
            <w:r w:rsidR="00264F5C">
              <w:rPr>
                <w:rFonts w:eastAsia="Calibri"/>
                <w:color w:val="000000"/>
                <w:sz w:val="28"/>
                <w:szCs w:val="28"/>
                <w:lang w:val="uk-UA" w:eastAsia="en-US"/>
              </w:rPr>
              <w:t>проєктом</w:t>
            </w:r>
            <w:proofErr w:type="spellEnd"/>
            <w:r w:rsidR="00264F5C">
              <w:rPr>
                <w:rFonts w:eastAsia="Calibri"/>
                <w:color w:val="000000"/>
                <w:sz w:val="28"/>
                <w:szCs w:val="28"/>
                <w:lang w:val="uk-UA" w:eastAsia="en-US"/>
              </w:rPr>
              <w:t>;</w:t>
            </w:r>
            <w:r w:rsidRPr="00DE31B3">
              <w:rPr>
                <w:rFonts w:eastAsia="Calibri"/>
                <w:color w:val="000000"/>
                <w:sz w:val="28"/>
                <w:szCs w:val="28"/>
                <w:lang w:val="uk-UA" w:eastAsia="en-US"/>
              </w:rPr>
              <w:t xml:space="preserve"> </w:t>
            </w:r>
          </w:p>
          <w:p w:rsidR="0016583F" w:rsidRPr="00DE31B3" w:rsidRDefault="0016583F" w:rsidP="0016583F">
            <w:pPr>
              <w:autoSpaceDE w:val="0"/>
              <w:autoSpaceDN w:val="0"/>
              <w:adjustRightInd w:val="0"/>
              <w:jc w:val="both"/>
              <w:rPr>
                <w:rFonts w:eastAsia="Calibri"/>
                <w:color w:val="000000"/>
                <w:sz w:val="28"/>
                <w:szCs w:val="28"/>
                <w:lang w:val="uk-UA" w:eastAsia="en-US"/>
              </w:rPr>
            </w:pPr>
            <w:r w:rsidRPr="00DE31B3">
              <w:rPr>
                <w:rFonts w:eastAsia="Calibri"/>
                <w:color w:val="000000"/>
                <w:sz w:val="28"/>
                <w:szCs w:val="28"/>
                <w:lang w:val="uk-UA" w:eastAsia="en-US"/>
              </w:rPr>
              <w:t xml:space="preserve">          </w:t>
            </w:r>
            <w:r w:rsidR="0012351C">
              <w:rPr>
                <w:rFonts w:eastAsia="Calibri"/>
                <w:color w:val="000000"/>
                <w:sz w:val="28"/>
                <w:szCs w:val="28"/>
                <w:lang w:val="uk-UA" w:eastAsia="en-US"/>
              </w:rPr>
              <w:t xml:space="preserve"> </w:t>
            </w:r>
            <w:r w:rsidRPr="00DE31B3">
              <w:rPr>
                <w:rFonts w:eastAsia="Calibri"/>
                <w:color w:val="000000"/>
                <w:sz w:val="28"/>
                <w:szCs w:val="28"/>
                <w:lang w:val="uk-UA" w:eastAsia="en-US"/>
              </w:rPr>
              <w:t xml:space="preserve">2) операційної допомоги. Допустимими витратами на операційну допомогу є: </w:t>
            </w:r>
          </w:p>
          <w:p w:rsidR="0016583F" w:rsidRPr="00DE31B3" w:rsidRDefault="0016583F" w:rsidP="0016583F">
            <w:pPr>
              <w:autoSpaceDE w:val="0"/>
              <w:autoSpaceDN w:val="0"/>
              <w:adjustRightInd w:val="0"/>
              <w:jc w:val="both"/>
              <w:rPr>
                <w:rFonts w:eastAsia="Calibri"/>
                <w:color w:val="000000"/>
                <w:sz w:val="28"/>
                <w:szCs w:val="28"/>
                <w:lang w:val="uk-UA" w:eastAsia="en-US"/>
              </w:rPr>
            </w:pPr>
            <w:r w:rsidRPr="00DE31B3">
              <w:rPr>
                <w:rFonts w:eastAsia="Calibri"/>
                <w:color w:val="000000"/>
                <w:sz w:val="28"/>
                <w:szCs w:val="28"/>
                <w:lang w:val="uk-UA" w:eastAsia="en-US"/>
              </w:rPr>
              <w:t xml:space="preserve">          витрати, пов’язані з постійною або періодичною діяльністю культурно-освітньої установи чи об’єкта культурної спадщини, включаючи виставки, вистави й заходи та подібні культурні заходи, що відбуваються під час звичайної діяльності; </w:t>
            </w:r>
          </w:p>
          <w:p w:rsidR="0016583F" w:rsidRPr="00DE31B3" w:rsidRDefault="0016583F" w:rsidP="0016583F">
            <w:pPr>
              <w:autoSpaceDE w:val="0"/>
              <w:autoSpaceDN w:val="0"/>
              <w:adjustRightInd w:val="0"/>
              <w:jc w:val="both"/>
              <w:rPr>
                <w:rFonts w:eastAsia="Calibri"/>
                <w:color w:val="000000"/>
                <w:sz w:val="28"/>
                <w:szCs w:val="28"/>
                <w:lang w:val="uk-UA" w:eastAsia="en-US"/>
              </w:rPr>
            </w:pPr>
            <w:r w:rsidRPr="00DE31B3">
              <w:rPr>
                <w:rFonts w:eastAsia="Calibri"/>
                <w:color w:val="000000"/>
                <w:sz w:val="28"/>
                <w:szCs w:val="28"/>
                <w:lang w:val="uk-UA" w:eastAsia="en-US"/>
              </w:rPr>
              <w:t xml:space="preserve">          витрати на культурно-мистецьку освіту, а також сприяння зростанню розуміння важливості захисту та пропаганди різноманіття форм культурного самовираження через освітні програми та програми підвищення обізнаності громадськості, в тому числі з використанням нових технологій; </w:t>
            </w:r>
          </w:p>
          <w:p w:rsidR="0016583F" w:rsidRPr="00DE31B3" w:rsidRDefault="0016583F" w:rsidP="0016583F">
            <w:pPr>
              <w:autoSpaceDE w:val="0"/>
              <w:autoSpaceDN w:val="0"/>
              <w:adjustRightInd w:val="0"/>
              <w:jc w:val="both"/>
              <w:rPr>
                <w:rFonts w:eastAsia="Calibri"/>
                <w:sz w:val="28"/>
                <w:szCs w:val="28"/>
                <w:lang w:val="uk-UA" w:eastAsia="en-US"/>
              </w:rPr>
            </w:pPr>
            <w:r w:rsidRPr="00DE31B3">
              <w:rPr>
                <w:rFonts w:eastAsia="Calibri"/>
                <w:color w:val="000000"/>
                <w:sz w:val="28"/>
                <w:szCs w:val="28"/>
                <w:lang w:val="uk-UA" w:eastAsia="en-US"/>
              </w:rPr>
              <w:t xml:space="preserve">          витрати на покращення доступу громадськості до закладів культури або об’єктів культурної спадщини та їх діяльності, включаючи витрати на </w:t>
            </w:r>
            <w:proofErr w:type="spellStart"/>
            <w:r w:rsidRPr="00DE31B3">
              <w:rPr>
                <w:rFonts w:eastAsia="Calibri"/>
                <w:color w:val="000000"/>
                <w:sz w:val="28"/>
                <w:szCs w:val="28"/>
                <w:lang w:val="uk-UA" w:eastAsia="en-US"/>
              </w:rPr>
              <w:t>оцифрування</w:t>
            </w:r>
            <w:proofErr w:type="spellEnd"/>
            <w:r w:rsidRPr="00DE31B3">
              <w:rPr>
                <w:rFonts w:eastAsia="Calibri"/>
                <w:color w:val="000000"/>
                <w:sz w:val="28"/>
                <w:szCs w:val="28"/>
                <w:lang w:val="uk-UA" w:eastAsia="en-US"/>
              </w:rPr>
              <w:t xml:space="preserve"> та </w:t>
            </w:r>
            <w:r w:rsidRPr="00DE31B3">
              <w:rPr>
                <w:rFonts w:eastAsia="Calibri"/>
                <w:sz w:val="28"/>
                <w:szCs w:val="28"/>
                <w:lang w:val="uk-UA" w:eastAsia="en-US"/>
              </w:rPr>
              <w:t xml:space="preserve">використання нових технологій, а також витрати на поліпшення доступності для людей з інвалідністю; </w:t>
            </w:r>
          </w:p>
          <w:p w:rsidR="0016583F" w:rsidRPr="00DE31B3" w:rsidRDefault="0016583F" w:rsidP="0016583F">
            <w:pPr>
              <w:autoSpaceDE w:val="0"/>
              <w:autoSpaceDN w:val="0"/>
              <w:adjustRightInd w:val="0"/>
              <w:jc w:val="both"/>
              <w:rPr>
                <w:rFonts w:eastAsia="Calibri"/>
                <w:sz w:val="28"/>
                <w:szCs w:val="28"/>
                <w:lang w:val="uk-UA" w:eastAsia="en-US"/>
              </w:rPr>
            </w:pPr>
            <w:r w:rsidRPr="00DE31B3">
              <w:rPr>
                <w:rFonts w:eastAsia="Calibri"/>
                <w:sz w:val="28"/>
                <w:szCs w:val="28"/>
                <w:lang w:val="uk-UA" w:eastAsia="en-US"/>
              </w:rPr>
              <w:t xml:space="preserve">          експлуатаційні витрати, безпосередньо пов’язані з культурним </w:t>
            </w:r>
            <w:proofErr w:type="spellStart"/>
            <w:r w:rsidRPr="00DE31B3">
              <w:rPr>
                <w:rFonts w:eastAsia="Calibri"/>
                <w:sz w:val="28"/>
                <w:szCs w:val="28"/>
                <w:lang w:val="uk-UA" w:eastAsia="en-US"/>
              </w:rPr>
              <w:t>проєктом</w:t>
            </w:r>
            <w:proofErr w:type="spellEnd"/>
            <w:r w:rsidRPr="00DE31B3">
              <w:rPr>
                <w:rFonts w:eastAsia="Calibri"/>
                <w:sz w:val="28"/>
                <w:szCs w:val="28"/>
                <w:lang w:val="uk-UA" w:eastAsia="en-US"/>
              </w:rPr>
              <w:t xml:space="preserve"> або діяльністю, такі як оренда або оренда нерухомості та культурних об’єктів, транспортні витрати, матеріали та матеріали, безпосередньо пов’язані з культурним </w:t>
            </w:r>
            <w:proofErr w:type="spellStart"/>
            <w:r w:rsidRPr="00DE31B3">
              <w:rPr>
                <w:rFonts w:eastAsia="Calibri"/>
                <w:sz w:val="28"/>
                <w:szCs w:val="28"/>
                <w:lang w:val="uk-UA" w:eastAsia="en-US"/>
              </w:rPr>
              <w:t>проєктом</w:t>
            </w:r>
            <w:proofErr w:type="spellEnd"/>
            <w:r w:rsidRPr="00DE31B3">
              <w:rPr>
                <w:rFonts w:eastAsia="Calibri"/>
                <w:sz w:val="28"/>
                <w:szCs w:val="28"/>
                <w:lang w:val="uk-UA" w:eastAsia="en-US"/>
              </w:rPr>
              <w:t xml:space="preserve"> або діяльністю, архітектурні споруди для виставок та постановок, позики, оренди та амортизація інструментів, програмного забезпечення та обладнання, витрати на право доступу до робіт авторського права та інші пов’язані із захистом права інтелектуальної власності, витрати на рекламу та витрати, понесені безпосередньо внаслідок </w:t>
            </w:r>
            <w:proofErr w:type="spellStart"/>
            <w:r w:rsidRPr="00DE31B3">
              <w:rPr>
                <w:rFonts w:eastAsia="Calibri"/>
                <w:sz w:val="28"/>
                <w:szCs w:val="28"/>
                <w:lang w:val="uk-UA" w:eastAsia="en-US"/>
              </w:rPr>
              <w:t>проєкту</w:t>
            </w:r>
            <w:proofErr w:type="spellEnd"/>
            <w:r w:rsidRPr="00DE31B3">
              <w:rPr>
                <w:rFonts w:eastAsia="Calibri"/>
                <w:sz w:val="28"/>
                <w:szCs w:val="28"/>
                <w:lang w:val="uk-UA" w:eastAsia="en-US"/>
              </w:rPr>
              <w:t xml:space="preserve"> або діяльності; амортизаційні відрахування та витрати на фінансування є прийнятними, якщо вони не були оплачені інвестиційною допомогою; </w:t>
            </w:r>
          </w:p>
          <w:p w:rsidR="0016583F" w:rsidRPr="00DE31B3" w:rsidRDefault="0016583F" w:rsidP="0016583F">
            <w:pPr>
              <w:autoSpaceDE w:val="0"/>
              <w:autoSpaceDN w:val="0"/>
              <w:adjustRightInd w:val="0"/>
              <w:jc w:val="both"/>
              <w:rPr>
                <w:rFonts w:eastAsia="Calibri"/>
                <w:sz w:val="28"/>
                <w:szCs w:val="28"/>
                <w:lang w:val="uk-UA" w:eastAsia="en-US"/>
              </w:rPr>
            </w:pPr>
            <w:r w:rsidRPr="00DE31B3">
              <w:rPr>
                <w:rFonts w:eastAsia="Calibri"/>
                <w:sz w:val="28"/>
                <w:szCs w:val="28"/>
                <w:lang w:val="uk-UA" w:eastAsia="en-US"/>
              </w:rPr>
              <w:t xml:space="preserve">          витрати на персонал, що працює на об’єкті культурної спадщини або на об’єкті культурної спадщини, або на </w:t>
            </w:r>
            <w:proofErr w:type="spellStart"/>
            <w:r w:rsidRPr="00DE31B3">
              <w:rPr>
                <w:rFonts w:eastAsia="Calibri"/>
                <w:sz w:val="28"/>
                <w:szCs w:val="28"/>
                <w:lang w:val="uk-UA" w:eastAsia="en-US"/>
              </w:rPr>
              <w:t>проєкт</w:t>
            </w:r>
            <w:proofErr w:type="spellEnd"/>
            <w:r w:rsidRPr="00DE31B3">
              <w:rPr>
                <w:rFonts w:eastAsia="Calibri"/>
                <w:sz w:val="28"/>
                <w:szCs w:val="28"/>
                <w:lang w:val="uk-UA" w:eastAsia="en-US"/>
              </w:rPr>
              <w:t xml:space="preserve">; </w:t>
            </w:r>
          </w:p>
          <w:p w:rsidR="0016583F" w:rsidRPr="00DE31B3" w:rsidRDefault="0016583F" w:rsidP="0016583F">
            <w:pPr>
              <w:autoSpaceDE w:val="0"/>
              <w:autoSpaceDN w:val="0"/>
              <w:adjustRightInd w:val="0"/>
              <w:jc w:val="both"/>
              <w:rPr>
                <w:rFonts w:eastAsia="Calibri"/>
                <w:sz w:val="28"/>
                <w:szCs w:val="28"/>
                <w:lang w:val="uk-UA" w:eastAsia="en-US"/>
              </w:rPr>
            </w:pPr>
            <w:r w:rsidRPr="00DE31B3">
              <w:rPr>
                <w:rFonts w:eastAsia="Calibri"/>
                <w:sz w:val="28"/>
                <w:szCs w:val="28"/>
                <w:lang w:val="uk-UA" w:eastAsia="en-US"/>
              </w:rPr>
              <w:t xml:space="preserve">           витрати на консультативні та допоміжні послуги, що надаються сторонніми консультантами та постачальниками послуг, понесені без</w:t>
            </w:r>
            <w:r w:rsidR="00264F5C">
              <w:rPr>
                <w:rFonts w:eastAsia="Calibri"/>
                <w:sz w:val="28"/>
                <w:szCs w:val="28"/>
                <w:lang w:val="uk-UA" w:eastAsia="en-US"/>
              </w:rPr>
              <w:t xml:space="preserve">посередньо в результаті </w:t>
            </w:r>
            <w:proofErr w:type="spellStart"/>
            <w:r w:rsidR="00264F5C">
              <w:rPr>
                <w:rFonts w:eastAsia="Calibri"/>
                <w:sz w:val="28"/>
                <w:szCs w:val="28"/>
                <w:lang w:val="uk-UA" w:eastAsia="en-US"/>
              </w:rPr>
              <w:t>проєкту</w:t>
            </w:r>
            <w:proofErr w:type="spellEnd"/>
            <w:r w:rsidR="00264F5C">
              <w:rPr>
                <w:rFonts w:eastAsia="Calibri"/>
                <w:sz w:val="28"/>
                <w:szCs w:val="28"/>
                <w:lang w:val="uk-UA" w:eastAsia="en-US"/>
              </w:rPr>
              <w:t>;</w:t>
            </w:r>
          </w:p>
          <w:p w:rsidR="0016583F" w:rsidRPr="00DE31B3" w:rsidRDefault="0016583F" w:rsidP="0016583F">
            <w:pPr>
              <w:autoSpaceDE w:val="0"/>
              <w:autoSpaceDN w:val="0"/>
              <w:adjustRightInd w:val="0"/>
              <w:spacing w:after="27"/>
              <w:jc w:val="both"/>
              <w:rPr>
                <w:rFonts w:eastAsia="Calibri"/>
                <w:sz w:val="28"/>
                <w:szCs w:val="28"/>
                <w:lang w:val="uk-UA" w:eastAsia="en-US"/>
              </w:rPr>
            </w:pPr>
            <w:r w:rsidRPr="00DE31B3">
              <w:rPr>
                <w:rFonts w:eastAsia="Calibri"/>
                <w:sz w:val="28"/>
                <w:szCs w:val="28"/>
                <w:lang w:val="uk-UA" w:eastAsia="en-US"/>
              </w:rPr>
              <w:lastRenderedPageBreak/>
              <w:t xml:space="preserve">           3) для інвестиційної допомоги розмір не повинен перевищувати різниці між прийнятними витратами та операційним прибутком інвестиції. Операційний прибуток буде відрахований із дозволених витрат заздалегідь, враховуючи обґрунтовані прогнози, або за допомогою зворотного механізму стягнень, тобто шляхом повернення надавачу допомоги суми допомоги, що перевищує різницю між дозволеними витратами та операційним прибутк</w:t>
            </w:r>
            <w:r w:rsidR="00264F5C">
              <w:rPr>
                <w:rFonts w:eastAsia="Calibri"/>
                <w:sz w:val="28"/>
                <w:szCs w:val="28"/>
                <w:lang w:val="uk-UA" w:eastAsia="en-US"/>
              </w:rPr>
              <w:t>ом від інвестицій;</w:t>
            </w:r>
            <w:r w:rsidRPr="00DE31B3">
              <w:rPr>
                <w:rFonts w:eastAsia="Calibri"/>
                <w:sz w:val="28"/>
                <w:szCs w:val="28"/>
                <w:lang w:val="uk-UA" w:eastAsia="en-US"/>
              </w:rPr>
              <w:t xml:space="preserve"> </w:t>
            </w:r>
          </w:p>
          <w:p w:rsidR="007D3BD0" w:rsidRDefault="0016583F" w:rsidP="0016583F">
            <w:pPr>
              <w:autoSpaceDE w:val="0"/>
              <w:autoSpaceDN w:val="0"/>
              <w:adjustRightInd w:val="0"/>
              <w:jc w:val="both"/>
              <w:rPr>
                <w:rFonts w:eastAsia="Calibri"/>
                <w:sz w:val="28"/>
                <w:szCs w:val="28"/>
                <w:lang w:val="uk-UA" w:eastAsia="en-US"/>
              </w:rPr>
            </w:pPr>
            <w:r w:rsidRPr="00DE31B3">
              <w:rPr>
                <w:rFonts w:eastAsia="Calibri"/>
                <w:sz w:val="28"/>
                <w:szCs w:val="28"/>
                <w:lang w:val="uk-UA" w:eastAsia="en-US"/>
              </w:rPr>
              <w:t xml:space="preserve">           4) для надання операційної допомоги розмір допомоги не повинен перевищувати операційні збитки за відповідний період. Це також має бути забезпечено заздалегідь, враховуючи обґрунтовані прогнози або за допомогою механізму зворотного стягнення, тобто шляхом повернення надавачу допомоги суми допомоги, що перевищує операційн</w:t>
            </w:r>
            <w:r w:rsidR="0012351C">
              <w:rPr>
                <w:rFonts w:eastAsia="Calibri"/>
                <w:sz w:val="28"/>
                <w:szCs w:val="28"/>
                <w:lang w:val="uk-UA" w:eastAsia="en-US"/>
              </w:rPr>
              <w:t>і збитки за відповідний період.</w:t>
            </w:r>
          </w:p>
          <w:p w:rsidR="007D3BD0" w:rsidRPr="007D3BD0" w:rsidRDefault="007D3BD0" w:rsidP="007D3BD0">
            <w:pPr>
              <w:autoSpaceDE w:val="0"/>
              <w:autoSpaceDN w:val="0"/>
              <w:adjustRightInd w:val="0"/>
              <w:ind w:firstLine="567"/>
              <w:jc w:val="both"/>
              <w:rPr>
                <w:rFonts w:eastAsiaTheme="minorHAnsi"/>
                <w:color w:val="000000"/>
                <w:sz w:val="28"/>
                <w:szCs w:val="28"/>
                <w:lang w:val="uk-UA" w:eastAsia="en-US"/>
              </w:rPr>
            </w:pPr>
            <w:r w:rsidRPr="007D3BD0">
              <w:rPr>
                <w:rFonts w:eastAsiaTheme="minorHAnsi"/>
                <w:color w:val="000000"/>
                <w:sz w:val="28"/>
                <w:szCs w:val="28"/>
                <w:lang w:val="uk-UA" w:eastAsia="en-US"/>
              </w:rPr>
              <w:t>Розмір вивільнених коштів</w:t>
            </w:r>
            <w:r>
              <w:rPr>
                <w:rFonts w:eastAsiaTheme="minorHAnsi"/>
                <w:color w:val="000000"/>
                <w:sz w:val="28"/>
                <w:szCs w:val="28"/>
                <w:lang w:val="uk-UA" w:eastAsia="en-US"/>
              </w:rPr>
              <w:t>:</w:t>
            </w:r>
            <w:r w:rsidRPr="007D3BD0">
              <w:rPr>
                <w:rFonts w:eastAsiaTheme="minorHAnsi"/>
                <w:color w:val="000000"/>
                <w:sz w:val="28"/>
                <w:szCs w:val="28"/>
                <w:lang w:val="uk-UA" w:eastAsia="en-US"/>
              </w:rPr>
              <w:t xml:space="preserve"> </w:t>
            </w:r>
          </w:p>
          <w:p w:rsidR="007D3BD0" w:rsidRPr="007D3BD0" w:rsidRDefault="007D3BD0" w:rsidP="007D3BD0">
            <w:pPr>
              <w:autoSpaceDE w:val="0"/>
              <w:autoSpaceDN w:val="0"/>
              <w:adjustRightInd w:val="0"/>
              <w:spacing w:after="27"/>
              <w:jc w:val="both"/>
              <w:rPr>
                <w:rFonts w:eastAsiaTheme="minorHAnsi"/>
                <w:color w:val="000000"/>
                <w:sz w:val="28"/>
                <w:szCs w:val="28"/>
                <w:lang w:val="uk-UA" w:eastAsia="en-US"/>
              </w:rPr>
            </w:pPr>
            <w:r>
              <w:rPr>
                <w:rFonts w:eastAsiaTheme="minorHAnsi"/>
                <w:color w:val="000000"/>
                <w:sz w:val="28"/>
                <w:szCs w:val="28"/>
                <w:lang w:val="uk-UA" w:eastAsia="en-US"/>
              </w:rPr>
              <w:t xml:space="preserve">        </w:t>
            </w:r>
            <w:r w:rsidRPr="007D3BD0">
              <w:rPr>
                <w:rFonts w:eastAsiaTheme="minorHAnsi"/>
                <w:color w:val="000000"/>
                <w:sz w:val="28"/>
                <w:szCs w:val="28"/>
                <w:lang w:val="uk-UA" w:eastAsia="en-US"/>
              </w:rPr>
              <w:t xml:space="preserve">- на операційну діяльність не повинен перевищувати розміру операційних збитків суб’єкта господарювання за попередній звітний період (рік, квартал, півріччя, 9 місяців); </w:t>
            </w:r>
          </w:p>
          <w:p w:rsidR="007D3BD0" w:rsidRPr="007D3BD0" w:rsidRDefault="007D3BD0" w:rsidP="007D3BD0">
            <w:pPr>
              <w:autoSpaceDE w:val="0"/>
              <w:autoSpaceDN w:val="0"/>
              <w:adjustRightInd w:val="0"/>
              <w:spacing w:after="27"/>
              <w:jc w:val="both"/>
              <w:rPr>
                <w:rFonts w:eastAsiaTheme="minorHAnsi"/>
                <w:color w:val="000000"/>
                <w:sz w:val="28"/>
                <w:szCs w:val="28"/>
                <w:lang w:val="uk-UA" w:eastAsia="en-US"/>
              </w:rPr>
            </w:pPr>
            <w:r>
              <w:rPr>
                <w:rFonts w:eastAsiaTheme="minorHAnsi"/>
                <w:color w:val="000000"/>
                <w:sz w:val="28"/>
                <w:szCs w:val="28"/>
                <w:lang w:val="uk-UA" w:eastAsia="en-US"/>
              </w:rPr>
              <w:t xml:space="preserve">        </w:t>
            </w:r>
            <w:r w:rsidRPr="007D3BD0">
              <w:rPr>
                <w:rFonts w:eastAsiaTheme="minorHAnsi"/>
                <w:color w:val="000000"/>
                <w:sz w:val="28"/>
                <w:szCs w:val="28"/>
                <w:lang w:val="uk-UA" w:eastAsia="en-US"/>
              </w:rPr>
              <w:t>- на інвестиційну діяльність дорівнює різниці між вартістю інвестиційного проекту та операційного прибутку за попередній звітний рік</w:t>
            </w:r>
            <w:r>
              <w:rPr>
                <w:rFonts w:eastAsiaTheme="minorHAnsi"/>
                <w:color w:val="000000"/>
                <w:sz w:val="28"/>
                <w:szCs w:val="28"/>
                <w:lang w:val="uk-UA" w:eastAsia="en-US"/>
              </w:rPr>
              <w:t>.</w:t>
            </w:r>
            <w:r w:rsidRPr="007D3BD0">
              <w:rPr>
                <w:rFonts w:eastAsiaTheme="minorHAnsi"/>
                <w:color w:val="000000"/>
                <w:sz w:val="28"/>
                <w:szCs w:val="28"/>
                <w:lang w:val="uk-UA" w:eastAsia="en-US"/>
              </w:rPr>
              <w:t xml:space="preserve"> </w:t>
            </w:r>
          </w:p>
          <w:p w:rsidR="0016583F" w:rsidRDefault="007D3BD0" w:rsidP="0016583F">
            <w:pPr>
              <w:autoSpaceDE w:val="0"/>
              <w:autoSpaceDN w:val="0"/>
              <w:adjustRightInd w:val="0"/>
              <w:jc w:val="both"/>
              <w:rPr>
                <w:rFonts w:eastAsia="Calibri"/>
                <w:sz w:val="28"/>
                <w:szCs w:val="28"/>
                <w:lang w:val="uk-UA" w:eastAsia="en-US"/>
              </w:rPr>
            </w:pPr>
            <w:r>
              <w:rPr>
                <w:rFonts w:eastAsiaTheme="minorHAnsi"/>
                <w:color w:val="000000"/>
                <w:sz w:val="28"/>
                <w:szCs w:val="28"/>
                <w:lang w:val="uk-UA" w:eastAsia="en-US"/>
              </w:rPr>
              <w:t xml:space="preserve">         О</w:t>
            </w:r>
            <w:r w:rsidRPr="007D3BD0">
              <w:rPr>
                <w:rFonts w:eastAsiaTheme="minorHAnsi"/>
                <w:color w:val="000000"/>
                <w:sz w:val="28"/>
                <w:szCs w:val="28"/>
                <w:lang w:val="uk-UA" w:eastAsia="en-US"/>
              </w:rPr>
              <w:t>тримувач повинен відшкодувати отриману державну допомогу на операційну та/або інвестиційну діяльність надавачу в разі отримання операційного прибутку за попередній звітній період з урахуванням вимог чинного законодавства.</w:t>
            </w:r>
            <w:r w:rsidR="0012351C">
              <w:rPr>
                <w:rFonts w:eastAsia="Calibri"/>
                <w:sz w:val="28"/>
                <w:szCs w:val="28"/>
                <w:lang w:val="uk-UA" w:eastAsia="en-US"/>
              </w:rPr>
              <w:t>»;</w:t>
            </w:r>
          </w:p>
          <w:p w:rsidR="00C92D20" w:rsidRDefault="00C92D20" w:rsidP="0016583F">
            <w:pPr>
              <w:autoSpaceDE w:val="0"/>
              <w:autoSpaceDN w:val="0"/>
              <w:adjustRightInd w:val="0"/>
              <w:jc w:val="both"/>
              <w:rPr>
                <w:sz w:val="28"/>
                <w:szCs w:val="28"/>
                <w:lang w:val="uk-UA"/>
              </w:rPr>
            </w:pPr>
            <w:r>
              <w:rPr>
                <w:rFonts w:eastAsia="Calibri"/>
                <w:sz w:val="28"/>
                <w:szCs w:val="28"/>
                <w:lang w:val="uk-UA" w:eastAsia="en-US"/>
              </w:rPr>
              <w:t xml:space="preserve">            1.2. доповнити пункт 5. </w:t>
            </w:r>
            <w:r>
              <w:rPr>
                <w:sz w:val="28"/>
                <w:szCs w:val="28"/>
                <w:lang w:val="uk-UA"/>
              </w:rPr>
              <w:t xml:space="preserve">текстової частини </w:t>
            </w:r>
            <w:r w:rsidRPr="00965753">
              <w:rPr>
                <w:sz w:val="28"/>
                <w:szCs w:val="28"/>
                <w:lang w:val="uk-UA"/>
              </w:rPr>
              <w:t>після таблиці</w:t>
            </w:r>
            <w:r w:rsidRPr="00AC36EC">
              <w:rPr>
                <w:sz w:val="28"/>
                <w:szCs w:val="28"/>
                <w:lang w:val="uk-UA"/>
              </w:rPr>
              <w:t xml:space="preserve"> </w:t>
            </w:r>
            <w:r w:rsidRPr="00965753">
              <w:rPr>
                <w:sz w:val="28"/>
                <w:szCs w:val="28"/>
                <w:lang w:val="uk-UA"/>
              </w:rPr>
              <w:t xml:space="preserve">«Перелік пільг для фізичних та юридичних осіб, наданих відповідно до пункту 284.1 статті 284 Податкового кодексу України, </w:t>
            </w:r>
            <w:r>
              <w:rPr>
                <w:sz w:val="28"/>
                <w:szCs w:val="28"/>
                <w:lang w:val="uk-UA"/>
              </w:rPr>
              <w:t>зі</w:t>
            </w:r>
            <w:r w:rsidRPr="00965753">
              <w:rPr>
                <w:sz w:val="28"/>
                <w:szCs w:val="28"/>
                <w:lang w:val="uk-UA"/>
              </w:rPr>
              <w:t xml:space="preserve"> сплати земельного податку» </w:t>
            </w:r>
            <w:r>
              <w:rPr>
                <w:sz w:val="28"/>
                <w:szCs w:val="28"/>
                <w:lang w:val="uk-UA"/>
              </w:rPr>
              <w:t>Додатку 2 до рішення абзацом наступного змісту:</w:t>
            </w:r>
          </w:p>
          <w:p w:rsidR="00C92D20" w:rsidRPr="00DE31B3" w:rsidRDefault="00C92D20" w:rsidP="0016583F">
            <w:pPr>
              <w:autoSpaceDE w:val="0"/>
              <w:autoSpaceDN w:val="0"/>
              <w:adjustRightInd w:val="0"/>
              <w:jc w:val="both"/>
              <w:rPr>
                <w:rFonts w:eastAsia="Calibri"/>
                <w:sz w:val="28"/>
                <w:szCs w:val="28"/>
                <w:lang w:val="uk-UA" w:eastAsia="en-US"/>
              </w:rPr>
            </w:pPr>
            <w:r>
              <w:rPr>
                <w:rFonts w:eastAsia="Calibri"/>
                <w:sz w:val="28"/>
                <w:szCs w:val="28"/>
                <w:lang w:val="uk-UA" w:eastAsia="en-US"/>
              </w:rPr>
              <w:t xml:space="preserve">            «</w:t>
            </w:r>
            <w:r w:rsidRPr="00FE3963">
              <w:rPr>
                <w:rFonts w:eastAsia="Calibri"/>
                <w:sz w:val="28"/>
                <w:szCs w:val="28"/>
                <w:lang w:val="uk-UA" w:eastAsia="en-US"/>
              </w:rPr>
              <w:t>Обмеження, викладені в цьому пункті не поширюються на суб’єктів господарювання, які не є отримувачами державної допомоги в розумінні Закону України «Про державну допомогу суб’єктам господарювання»</w:t>
            </w:r>
            <w:r>
              <w:rPr>
                <w:rFonts w:eastAsia="Calibri"/>
                <w:sz w:val="28"/>
                <w:szCs w:val="28"/>
                <w:lang w:val="uk-UA" w:eastAsia="en-US"/>
              </w:rPr>
              <w:t>;</w:t>
            </w:r>
          </w:p>
          <w:p w:rsidR="00E11EC8" w:rsidRPr="00965753" w:rsidRDefault="00E11EC8" w:rsidP="00CD38A2">
            <w:pPr>
              <w:widowControl w:val="0"/>
              <w:tabs>
                <w:tab w:val="left" w:pos="696"/>
              </w:tabs>
              <w:autoSpaceDE w:val="0"/>
              <w:autoSpaceDN w:val="0"/>
              <w:adjustRightInd w:val="0"/>
              <w:ind w:firstLine="851"/>
              <w:jc w:val="both"/>
              <w:rPr>
                <w:sz w:val="28"/>
                <w:szCs w:val="28"/>
                <w:lang w:val="uk-UA"/>
              </w:rPr>
            </w:pPr>
            <w:r w:rsidRPr="00965753">
              <w:rPr>
                <w:sz w:val="28"/>
                <w:szCs w:val="28"/>
                <w:lang w:val="uk-UA"/>
              </w:rPr>
              <w:t xml:space="preserve">2. Це рішення набирає чинності з </w:t>
            </w:r>
            <w:r w:rsidR="007C117A" w:rsidRPr="00965753">
              <w:rPr>
                <w:sz w:val="28"/>
                <w:szCs w:val="28"/>
                <w:lang w:val="uk-UA"/>
              </w:rPr>
              <w:t xml:space="preserve">моменту </w:t>
            </w:r>
            <w:r w:rsidR="00BD4EC9">
              <w:rPr>
                <w:sz w:val="28"/>
                <w:szCs w:val="28"/>
                <w:lang w:val="uk-UA"/>
              </w:rPr>
              <w:t>офіційного оприлюднення</w:t>
            </w:r>
            <w:r w:rsidRPr="00965753">
              <w:rPr>
                <w:sz w:val="28"/>
                <w:szCs w:val="28"/>
                <w:lang w:val="uk-UA"/>
              </w:rPr>
              <w:t>.</w:t>
            </w:r>
          </w:p>
          <w:p w:rsidR="00965753" w:rsidRPr="00965753" w:rsidRDefault="007C117A" w:rsidP="00CD38A2">
            <w:pPr>
              <w:widowControl w:val="0"/>
              <w:tabs>
                <w:tab w:val="left" w:pos="696"/>
              </w:tabs>
              <w:autoSpaceDE w:val="0"/>
              <w:autoSpaceDN w:val="0"/>
              <w:adjustRightInd w:val="0"/>
              <w:ind w:firstLine="851"/>
              <w:jc w:val="both"/>
              <w:rPr>
                <w:bCs/>
                <w:sz w:val="28"/>
                <w:szCs w:val="28"/>
                <w:lang w:val="uk-UA"/>
              </w:rPr>
            </w:pPr>
            <w:r w:rsidRPr="00965753">
              <w:rPr>
                <w:sz w:val="28"/>
                <w:szCs w:val="28"/>
                <w:lang w:val="uk-UA"/>
              </w:rPr>
              <w:t>3</w:t>
            </w:r>
            <w:r w:rsidR="00E11EC8" w:rsidRPr="00965753">
              <w:rPr>
                <w:sz w:val="28"/>
                <w:szCs w:val="28"/>
                <w:lang w:val="uk-UA"/>
              </w:rPr>
              <w:t xml:space="preserve">. </w:t>
            </w:r>
            <w:r w:rsidR="00965753" w:rsidRPr="00965753">
              <w:rPr>
                <w:sz w:val="28"/>
                <w:szCs w:val="28"/>
                <w:lang w:val="uk-UA"/>
              </w:rPr>
              <w:t xml:space="preserve">Департаменту комунікацій та інформаційної політики </w:t>
            </w:r>
            <w:r w:rsidR="00965753" w:rsidRPr="00965753">
              <w:rPr>
                <w:bCs/>
                <w:sz w:val="28"/>
                <w:szCs w:val="28"/>
                <w:lang w:val="uk-UA"/>
              </w:rPr>
              <w:t>Сумської міської ради  (Кохан А.І.)  забезпечити оприлюднення даного рішення в місцевому друкованому ЗМІ та на офіційному веб-сайті Сумської міської ради в мережі Інтернет  у строки  визначені законодавством.</w:t>
            </w:r>
          </w:p>
          <w:p w:rsidR="00E11EC8" w:rsidRPr="00965753" w:rsidRDefault="007C117A" w:rsidP="00CD38A2">
            <w:pPr>
              <w:widowControl w:val="0"/>
              <w:tabs>
                <w:tab w:val="left" w:pos="696"/>
              </w:tabs>
              <w:autoSpaceDE w:val="0"/>
              <w:autoSpaceDN w:val="0"/>
              <w:adjustRightInd w:val="0"/>
              <w:ind w:firstLine="851"/>
              <w:jc w:val="both"/>
              <w:rPr>
                <w:sz w:val="28"/>
                <w:szCs w:val="28"/>
                <w:lang w:val="uk-UA"/>
              </w:rPr>
            </w:pPr>
            <w:r w:rsidRPr="00965753">
              <w:rPr>
                <w:sz w:val="28"/>
                <w:szCs w:val="28"/>
                <w:lang w:val="uk-UA"/>
              </w:rPr>
              <w:t>4</w:t>
            </w:r>
            <w:r w:rsidR="00E11EC8" w:rsidRPr="00965753">
              <w:rPr>
                <w:sz w:val="28"/>
                <w:szCs w:val="28"/>
                <w:lang w:val="uk-UA"/>
              </w:rPr>
              <w:t xml:space="preserve">. Організацію виконання даного рішення покласти на заступника міського голови </w:t>
            </w:r>
            <w:r w:rsidRPr="00965753">
              <w:rPr>
                <w:sz w:val="28"/>
                <w:szCs w:val="28"/>
                <w:lang w:val="uk-UA"/>
              </w:rPr>
              <w:t>згідно з розподілом обов’язків</w:t>
            </w:r>
            <w:r w:rsidR="00E11EC8" w:rsidRPr="00965753">
              <w:rPr>
                <w:sz w:val="28"/>
                <w:szCs w:val="28"/>
                <w:lang w:val="uk-UA"/>
              </w:rPr>
              <w:t>.</w:t>
            </w:r>
          </w:p>
          <w:p w:rsidR="00E11EC8" w:rsidRPr="00965753" w:rsidRDefault="00E11EC8" w:rsidP="002F0B98">
            <w:pPr>
              <w:widowControl w:val="0"/>
              <w:tabs>
                <w:tab w:val="left" w:pos="566"/>
              </w:tabs>
              <w:autoSpaceDE w:val="0"/>
              <w:autoSpaceDN w:val="0"/>
              <w:adjustRightInd w:val="0"/>
              <w:rPr>
                <w:bCs/>
                <w:sz w:val="28"/>
                <w:szCs w:val="28"/>
                <w:lang w:val="uk-UA"/>
              </w:rPr>
            </w:pPr>
          </w:p>
          <w:tbl>
            <w:tblPr>
              <w:tblW w:w="9567" w:type="dxa"/>
              <w:tblLayout w:type="fixed"/>
              <w:tblLook w:val="01E0" w:firstRow="1" w:lastRow="1" w:firstColumn="1" w:lastColumn="1" w:noHBand="0" w:noVBand="0"/>
            </w:tblPr>
            <w:tblGrid>
              <w:gridCol w:w="9567"/>
            </w:tblGrid>
            <w:tr w:rsidR="00AB40EF" w:rsidRPr="00965753" w:rsidTr="00AD24EB">
              <w:tc>
                <w:tcPr>
                  <w:tcW w:w="9567" w:type="dxa"/>
                </w:tcPr>
                <w:p w:rsidR="003E0674" w:rsidRDefault="003E0674" w:rsidP="003E0674">
                  <w:pPr>
                    <w:widowControl w:val="0"/>
                    <w:tabs>
                      <w:tab w:val="left" w:pos="566"/>
                    </w:tabs>
                    <w:autoSpaceDE w:val="0"/>
                    <w:autoSpaceDN w:val="0"/>
                    <w:adjustRightInd w:val="0"/>
                    <w:ind w:left="-112" w:firstLine="112"/>
                    <w:rPr>
                      <w:b/>
                      <w:sz w:val="28"/>
                      <w:szCs w:val="28"/>
                      <w:lang w:val="uk-UA"/>
                    </w:rPr>
                  </w:pPr>
                </w:p>
                <w:p w:rsidR="007D3BD0" w:rsidRDefault="007D3BD0" w:rsidP="003E0674">
                  <w:pPr>
                    <w:widowControl w:val="0"/>
                    <w:tabs>
                      <w:tab w:val="left" w:pos="566"/>
                    </w:tabs>
                    <w:autoSpaceDE w:val="0"/>
                    <w:autoSpaceDN w:val="0"/>
                    <w:adjustRightInd w:val="0"/>
                    <w:ind w:left="-112" w:firstLine="112"/>
                    <w:rPr>
                      <w:b/>
                      <w:sz w:val="28"/>
                      <w:szCs w:val="28"/>
                      <w:lang w:val="uk-UA"/>
                    </w:rPr>
                  </w:pPr>
                </w:p>
                <w:p w:rsidR="00AB40EF" w:rsidRPr="003E0674" w:rsidRDefault="009074D4" w:rsidP="003E0674">
                  <w:pPr>
                    <w:widowControl w:val="0"/>
                    <w:tabs>
                      <w:tab w:val="left" w:pos="566"/>
                    </w:tabs>
                    <w:autoSpaceDE w:val="0"/>
                    <w:autoSpaceDN w:val="0"/>
                    <w:adjustRightInd w:val="0"/>
                    <w:rPr>
                      <w:sz w:val="28"/>
                      <w:szCs w:val="28"/>
                      <w:lang w:val="uk-UA"/>
                    </w:rPr>
                  </w:pPr>
                  <w:r w:rsidRPr="003E0674">
                    <w:rPr>
                      <w:sz w:val="28"/>
                      <w:szCs w:val="28"/>
                      <w:lang w:val="uk-UA"/>
                    </w:rPr>
                    <w:t>Сумськ</w:t>
                  </w:r>
                  <w:r w:rsidR="00AD24EB" w:rsidRPr="003E0674">
                    <w:rPr>
                      <w:sz w:val="28"/>
                      <w:szCs w:val="28"/>
                      <w:lang w:val="uk-UA"/>
                    </w:rPr>
                    <w:t>ий</w:t>
                  </w:r>
                  <w:r w:rsidRPr="003E0674">
                    <w:rPr>
                      <w:sz w:val="28"/>
                      <w:szCs w:val="28"/>
                      <w:lang w:val="uk-UA"/>
                    </w:rPr>
                    <w:t xml:space="preserve"> міськ</w:t>
                  </w:r>
                  <w:r w:rsidR="00AD24EB" w:rsidRPr="003E0674">
                    <w:rPr>
                      <w:sz w:val="28"/>
                      <w:szCs w:val="28"/>
                      <w:lang w:val="uk-UA"/>
                    </w:rPr>
                    <w:t>ий</w:t>
                  </w:r>
                  <w:r w:rsidRPr="003E0674">
                    <w:rPr>
                      <w:sz w:val="28"/>
                      <w:szCs w:val="28"/>
                      <w:lang w:val="uk-UA"/>
                    </w:rPr>
                    <w:t xml:space="preserve"> </w:t>
                  </w:r>
                  <w:r w:rsidR="00AD24EB" w:rsidRPr="003E0674">
                    <w:rPr>
                      <w:sz w:val="28"/>
                      <w:szCs w:val="28"/>
                      <w:lang w:val="uk-UA"/>
                    </w:rPr>
                    <w:t>голова</w:t>
                  </w:r>
                  <w:r w:rsidRPr="003E0674">
                    <w:rPr>
                      <w:sz w:val="28"/>
                      <w:szCs w:val="28"/>
                      <w:lang w:val="uk-UA"/>
                    </w:rPr>
                    <w:t xml:space="preserve"> </w:t>
                  </w:r>
                  <w:r w:rsidR="00AB40EF" w:rsidRPr="003E0674">
                    <w:rPr>
                      <w:sz w:val="28"/>
                      <w:szCs w:val="28"/>
                      <w:lang w:val="uk-UA"/>
                    </w:rPr>
                    <w:tab/>
                  </w:r>
                  <w:r w:rsidR="00AB40EF" w:rsidRPr="003E0674">
                    <w:rPr>
                      <w:sz w:val="28"/>
                      <w:szCs w:val="28"/>
                      <w:lang w:val="uk-UA"/>
                    </w:rPr>
                    <w:tab/>
                  </w:r>
                  <w:r w:rsidRPr="003E0674">
                    <w:rPr>
                      <w:sz w:val="28"/>
                      <w:szCs w:val="28"/>
                      <w:lang w:val="uk-UA"/>
                    </w:rPr>
                    <w:t xml:space="preserve">              </w:t>
                  </w:r>
                  <w:r w:rsidR="00AB40EF" w:rsidRPr="003E0674">
                    <w:rPr>
                      <w:sz w:val="28"/>
                      <w:szCs w:val="28"/>
                      <w:lang w:val="uk-UA"/>
                    </w:rPr>
                    <w:tab/>
                    <w:t xml:space="preserve">  </w:t>
                  </w:r>
                  <w:r w:rsidR="00FA6630" w:rsidRPr="003E0674">
                    <w:rPr>
                      <w:sz w:val="28"/>
                      <w:szCs w:val="28"/>
                      <w:lang w:val="uk-UA"/>
                    </w:rPr>
                    <w:t xml:space="preserve">     </w:t>
                  </w:r>
                  <w:r w:rsidR="00AB40EF" w:rsidRPr="003E0674">
                    <w:rPr>
                      <w:sz w:val="28"/>
                      <w:szCs w:val="28"/>
                      <w:lang w:val="uk-UA"/>
                    </w:rPr>
                    <w:t xml:space="preserve">  </w:t>
                  </w:r>
                  <w:r w:rsidR="00AD24EB" w:rsidRPr="003E0674">
                    <w:rPr>
                      <w:sz w:val="28"/>
                      <w:szCs w:val="28"/>
                      <w:lang w:val="uk-UA"/>
                    </w:rPr>
                    <w:t xml:space="preserve">                О.М. Лисенко</w:t>
                  </w:r>
                </w:p>
              </w:tc>
            </w:tr>
          </w:tbl>
          <w:p w:rsidR="00965753" w:rsidRPr="00965753" w:rsidRDefault="00965753" w:rsidP="002F0B98">
            <w:pPr>
              <w:rPr>
                <w:sz w:val="28"/>
                <w:szCs w:val="28"/>
                <w:lang w:val="uk-UA"/>
              </w:rPr>
            </w:pPr>
          </w:p>
          <w:p w:rsidR="002C5685" w:rsidRPr="00B00807" w:rsidRDefault="003E0674" w:rsidP="002F0B98">
            <w:pPr>
              <w:widowControl w:val="0"/>
              <w:tabs>
                <w:tab w:val="left" w:pos="566"/>
              </w:tabs>
              <w:autoSpaceDE w:val="0"/>
              <w:autoSpaceDN w:val="0"/>
              <w:adjustRightInd w:val="0"/>
              <w:rPr>
                <w:bCs/>
                <w:sz w:val="22"/>
                <w:szCs w:val="22"/>
                <w:lang w:val="uk-UA"/>
              </w:rPr>
            </w:pPr>
            <w:r>
              <w:rPr>
                <w:sz w:val="22"/>
                <w:szCs w:val="22"/>
                <w:lang w:val="uk-UA"/>
              </w:rPr>
              <w:t xml:space="preserve">   </w:t>
            </w:r>
            <w:r w:rsidR="002C5685" w:rsidRPr="00B00807">
              <w:rPr>
                <w:sz w:val="22"/>
                <w:szCs w:val="22"/>
                <w:lang w:val="uk-UA"/>
              </w:rPr>
              <w:t xml:space="preserve">Виконавець: </w:t>
            </w:r>
            <w:r w:rsidR="006D6F5D" w:rsidRPr="00B00807">
              <w:rPr>
                <w:bCs/>
                <w:sz w:val="22"/>
                <w:szCs w:val="22"/>
                <w:lang w:val="uk-UA"/>
              </w:rPr>
              <w:t>Клименко Ю.М.</w:t>
            </w:r>
          </w:p>
          <w:p w:rsidR="0012351C" w:rsidRDefault="0012351C" w:rsidP="002F0B98">
            <w:pPr>
              <w:widowControl w:val="0"/>
              <w:tabs>
                <w:tab w:val="left" w:pos="566"/>
              </w:tabs>
              <w:autoSpaceDE w:val="0"/>
              <w:autoSpaceDN w:val="0"/>
              <w:adjustRightInd w:val="0"/>
              <w:rPr>
                <w:sz w:val="22"/>
                <w:szCs w:val="22"/>
                <w:lang w:val="uk-UA"/>
              </w:rPr>
            </w:pPr>
          </w:p>
          <w:p w:rsidR="002C5685" w:rsidRPr="00B00807" w:rsidRDefault="002C5685" w:rsidP="002F0B98">
            <w:pPr>
              <w:widowControl w:val="0"/>
              <w:tabs>
                <w:tab w:val="left" w:pos="566"/>
              </w:tabs>
              <w:autoSpaceDE w:val="0"/>
              <w:autoSpaceDN w:val="0"/>
              <w:adjustRightInd w:val="0"/>
              <w:rPr>
                <w:sz w:val="22"/>
                <w:szCs w:val="22"/>
                <w:lang w:val="uk-UA"/>
              </w:rPr>
            </w:pPr>
            <w:r w:rsidRPr="00B00807">
              <w:rPr>
                <w:sz w:val="22"/>
                <w:szCs w:val="22"/>
                <w:lang w:val="uk-UA"/>
              </w:rPr>
              <w:t xml:space="preserve"> </w:t>
            </w:r>
            <w:r w:rsidR="00B00807" w:rsidRPr="00B00807">
              <w:rPr>
                <w:sz w:val="22"/>
                <w:szCs w:val="22"/>
                <w:lang w:val="uk-UA"/>
              </w:rPr>
              <w:t>_______________</w:t>
            </w:r>
            <w:r w:rsidRPr="00B00807">
              <w:rPr>
                <w:sz w:val="22"/>
                <w:szCs w:val="22"/>
                <w:lang w:val="uk-UA"/>
              </w:rPr>
              <w:t>__</w:t>
            </w:r>
          </w:p>
          <w:p w:rsidR="00392849" w:rsidRPr="003E0674" w:rsidRDefault="002C5685" w:rsidP="002F0B98">
            <w:pPr>
              <w:jc w:val="both"/>
              <w:rPr>
                <w:sz w:val="20"/>
                <w:szCs w:val="20"/>
                <w:lang w:val="uk-UA"/>
              </w:rPr>
            </w:pPr>
            <w:r w:rsidRPr="003E0674">
              <w:rPr>
                <w:bCs/>
                <w:sz w:val="20"/>
                <w:szCs w:val="20"/>
                <w:lang w:val="uk-UA"/>
              </w:rPr>
              <w:t xml:space="preserve">Ініціатор розгляду питання  - </w:t>
            </w:r>
            <w:r w:rsidR="00867CD3" w:rsidRPr="003E0674">
              <w:rPr>
                <w:sz w:val="20"/>
                <w:szCs w:val="20"/>
                <w:lang w:val="uk-UA"/>
              </w:rPr>
              <w:t>постійна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p>
          <w:p w:rsidR="002C5685" w:rsidRPr="003E0674" w:rsidRDefault="002C5685" w:rsidP="002F0B98">
            <w:pPr>
              <w:widowControl w:val="0"/>
              <w:tabs>
                <w:tab w:val="left" w:pos="738"/>
                <w:tab w:val="left" w:pos="1080"/>
              </w:tabs>
              <w:autoSpaceDE w:val="0"/>
              <w:autoSpaceDN w:val="0"/>
              <w:adjustRightInd w:val="0"/>
              <w:jc w:val="both"/>
              <w:rPr>
                <w:bCs/>
                <w:sz w:val="20"/>
                <w:szCs w:val="20"/>
                <w:lang w:val="uk-UA"/>
              </w:rPr>
            </w:pPr>
            <w:proofErr w:type="spellStart"/>
            <w:r w:rsidRPr="003E0674">
              <w:rPr>
                <w:bCs/>
                <w:sz w:val="20"/>
                <w:szCs w:val="20"/>
                <w:lang w:val="uk-UA"/>
              </w:rPr>
              <w:t>Про</w:t>
            </w:r>
            <w:r w:rsidR="00884D2A">
              <w:rPr>
                <w:bCs/>
                <w:sz w:val="20"/>
                <w:szCs w:val="20"/>
                <w:lang w:val="uk-UA"/>
              </w:rPr>
              <w:t>є</w:t>
            </w:r>
            <w:r w:rsidRPr="003E0674">
              <w:rPr>
                <w:bCs/>
                <w:sz w:val="20"/>
                <w:szCs w:val="20"/>
                <w:lang w:val="uk-UA"/>
              </w:rPr>
              <w:t>кт</w:t>
            </w:r>
            <w:proofErr w:type="spellEnd"/>
            <w:r w:rsidRPr="003E0674">
              <w:rPr>
                <w:bCs/>
                <w:sz w:val="20"/>
                <w:szCs w:val="20"/>
                <w:lang w:val="uk-UA"/>
              </w:rPr>
              <w:t xml:space="preserve"> рішення підготовлено </w:t>
            </w:r>
            <w:r w:rsidR="00F4229C">
              <w:rPr>
                <w:bCs/>
                <w:sz w:val="20"/>
                <w:szCs w:val="20"/>
                <w:lang w:val="uk-UA"/>
              </w:rPr>
              <w:t>Д</w:t>
            </w:r>
            <w:r w:rsidRPr="003E0674">
              <w:rPr>
                <w:bCs/>
                <w:sz w:val="20"/>
                <w:szCs w:val="20"/>
                <w:lang w:val="uk-UA"/>
              </w:rPr>
              <w:t xml:space="preserve">епартаментом забезпечення ресурсних платежів Сумської міської </w:t>
            </w:r>
            <w:r w:rsidR="006D6F5D" w:rsidRPr="003E0674">
              <w:rPr>
                <w:bCs/>
                <w:sz w:val="20"/>
                <w:szCs w:val="20"/>
                <w:lang w:val="uk-UA"/>
              </w:rPr>
              <w:t xml:space="preserve">  </w:t>
            </w:r>
            <w:r w:rsidRPr="003E0674">
              <w:rPr>
                <w:bCs/>
                <w:sz w:val="20"/>
                <w:szCs w:val="20"/>
                <w:lang w:val="uk-UA"/>
              </w:rPr>
              <w:t>ради.</w:t>
            </w:r>
          </w:p>
          <w:p w:rsidR="00965753" w:rsidRPr="00965753" w:rsidRDefault="002C5685" w:rsidP="00F4229C">
            <w:pPr>
              <w:widowControl w:val="0"/>
              <w:tabs>
                <w:tab w:val="left" w:pos="738"/>
                <w:tab w:val="left" w:pos="1080"/>
              </w:tabs>
              <w:autoSpaceDE w:val="0"/>
              <w:autoSpaceDN w:val="0"/>
              <w:adjustRightInd w:val="0"/>
              <w:jc w:val="both"/>
              <w:rPr>
                <w:sz w:val="28"/>
                <w:szCs w:val="28"/>
                <w:lang w:val="uk-UA"/>
              </w:rPr>
            </w:pPr>
            <w:r w:rsidRPr="003E0674">
              <w:rPr>
                <w:sz w:val="20"/>
                <w:szCs w:val="20"/>
                <w:lang w:val="uk-UA"/>
              </w:rPr>
              <w:t xml:space="preserve">Доповідач: </w:t>
            </w:r>
            <w:r w:rsidR="00F4229C">
              <w:rPr>
                <w:sz w:val="20"/>
                <w:szCs w:val="20"/>
                <w:lang w:val="uk-UA"/>
              </w:rPr>
              <w:t>Д</w:t>
            </w:r>
            <w:r w:rsidR="001C66E5" w:rsidRPr="003E0674">
              <w:rPr>
                <w:bCs/>
                <w:sz w:val="20"/>
                <w:szCs w:val="20"/>
                <w:lang w:val="uk-UA"/>
              </w:rPr>
              <w:t>епартамент забезпечення ресурсних платежів Сумської міської ради</w:t>
            </w:r>
          </w:p>
        </w:tc>
      </w:tr>
    </w:tbl>
    <w:p w:rsidR="00655497" w:rsidRPr="00965753" w:rsidRDefault="00655497" w:rsidP="00965753">
      <w:pPr>
        <w:rPr>
          <w:lang w:val="uk-UA"/>
        </w:rPr>
      </w:pPr>
    </w:p>
    <w:sectPr w:rsidR="00655497" w:rsidRPr="00965753" w:rsidSect="003E0674">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tiqua">
    <w:altName w:val="Segoe UI"/>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15:restartNumberingAfterBreak="0">
    <w:nsid w:val="0CD31FBF"/>
    <w:multiLevelType w:val="hybridMultilevel"/>
    <w:tmpl w:val="DD8CD982"/>
    <w:lvl w:ilvl="0" w:tplc="7D2C9B5E">
      <w:start w:val="1"/>
      <w:numFmt w:val="decimal"/>
      <w:suff w:val="space"/>
      <w:lvlText w:val="%1."/>
      <w:lvlJc w:val="left"/>
      <w:pPr>
        <w:ind w:left="567" w:firstLine="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9720B4"/>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05157BE"/>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DAC1F36"/>
    <w:multiLevelType w:val="hybridMultilevel"/>
    <w:tmpl w:val="9550B6FE"/>
    <w:lvl w:ilvl="0" w:tplc="8C54031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 w15:restartNumberingAfterBreak="0">
    <w:nsid w:val="7EC92A79"/>
    <w:multiLevelType w:val="hybridMultilevel"/>
    <w:tmpl w:val="14242DD2"/>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5"/>
  </w:num>
  <w:num w:numId="3">
    <w:abstractNumId w:val="2"/>
  </w:num>
  <w:num w:numId="4">
    <w:abstractNumId w:val="3"/>
  </w:num>
  <w:num w:numId="5">
    <w:abstractNumId w:val="4"/>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9D"/>
    <w:rsid w:val="000212EA"/>
    <w:rsid w:val="000378AE"/>
    <w:rsid w:val="0004228C"/>
    <w:rsid w:val="00054650"/>
    <w:rsid w:val="000560B3"/>
    <w:rsid w:val="00057230"/>
    <w:rsid w:val="000713E7"/>
    <w:rsid w:val="0007380F"/>
    <w:rsid w:val="00075FDB"/>
    <w:rsid w:val="00080A1C"/>
    <w:rsid w:val="000A40C7"/>
    <w:rsid w:val="000C4FF6"/>
    <w:rsid w:val="000C684C"/>
    <w:rsid w:val="000D236C"/>
    <w:rsid w:val="000D40B0"/>
    <w:rsid w:val="000E2770"/>
    <w:rsid w:val="000E7E8A"/>
    <w:rsid w:val="000F2B23"/>
    <w:rsid w:val="000F750B"/>
    <w:rsid w:val="001134C8"/>
    <w:rsid w:val="0012351C"/>
    <w:rsid w:val="00123A54"/>
    <w:rsid w:val="0012682D"/>
    <w:rsid w:val="001402B4"/>
    <w:rsid w:val="0014749F"/>
    <w:rsid w:val="001523D5"/>
    <w:rsid w:val="00162641"/>
    <w:rsid w:val="00164697"/>
    <w:rsid w:val="0016583F"/>
    <w:rsid w:val="001713C0"/>
    <w:rsid w:val="0018256A"/>
    <w:rsid w:val="0018626D"/>
    <w:rsid w:val="00190E88"/>
    <w:rsid w:val="001A139B"/>
    <w:rsid w:val="001A5B52"/>
    <w:rsid w:val="001C66E5"/>
    <w:rsid w:val="001C7076"/>
    <w:rsid w:val="001D109C"/>
    <w:rsid w:val="001F1C57"/>
    <w:rsid w:val="001F2D1F"/>
    <w:rsid w:val="001F6EA1"/>
    <w:rsid w:val="0020574C"/>
    <w:rsid w:val="00214C6E"/>
    <w:rsid w:val="0023161E"/>
    <w:rsid w:val="002343F6"/>
    <w:rsid w:val="002539BC"/>
    <w:rsid w:val="00256668"/>
    <w:rsid w:val="00257A57"/>
    <w:rsid w:val="00264076"/>
    <w:rsid w:val="00264F5C"/>
    <w:rsid w:val="002803DB"/>
    <w:rsid w:val="002910CC"/>
    <w:rsid w:val="0029154D"/>
    <w:rsid w:val="002946B5"/>
    <w:rsid w:val="00294BCF"/>
    <w:rsid w:val="002B09FB"/>
    <w:rsid w:val="002B0B7B"/>
    <w:rsid w:val="002B3FDE"/>
    <w:rsid w:val="002C210C"/>
    <w:rsid w:val="002C5685"/>
    <w:rsid w:val="002D60AB"/>
    <w:rsid w:val="002E1403"/>
    <w:rsid w:val="002E61E9"/>
    <w:rsid w:val="002F0B98"/>
    <w:rsid w:val="002F2C7B"/>
    <w:rsid w:val="002F64EE"/>
    <w:rsid w:val="0030630A"/>
    <w:rsid w:val="003115A1"/>
    <w:rsid w:val="00312399"/>
    <w:rsid w:val="003215F8"/>
    <w:rsid w:val="003224D5"/>
    <w:rsid w:val="00322D99"/>
    <w:rsid w:val="003243B4"/>
    <w:rsid w:val="00330DB0"/>
    <w:rsid w:val="00330FA9"/>
    <w:rsid w:val="003519E4"/>
    <w:rsid w:val="00353C9A"/>
    <w:rsid w:val="003540BA"/>
    <w:rsid w:val="003608A5"/>
    <w:rsid w:val="00361FBB"/>
    <w:rsid w:val="0036453C"/>
    <w:rsid w:val="003656EF"/>
    <w:rsid w:val="00366408"/>
    <w:rsid w:val="00366ED9"/>
    <w:rsid w:val="003801C5"/>
    <w:rsid w:val="003877F4"/>
    <w:rsid w:val="00391E19"/>
    <w:rsid w:val="00392849"/>
    <w:rsid w:val="003A5CA5"/>
    <w:rsid w:val="003B4C81"/>
    <w:rsid w:val="003E0674"/>
    <w:rsid w:val="003F3A0D"/>
    <w:rsid w:val="003F4927"/>
    <w:rsid w:val="003F5193"/>
    <w:rsid w:val="0040022C"/>
    <w:rsid w:val="00403F12"/>
    <w:rsid w:val="0041143A"/>
    <w:rsid w:val="00422A21"/>
    <w:rsid w:val="00425FF9"/>
    <w:rsid w:val="00440D90"/>
    <w:rsid w:val="00441220"/>
    <w:rsid w:val="00441ADE"/>
    <w:rsid w:val="004467C8"/>
    <w:rsid w:val="00446FA3"/>
    <w:rsid w:val="00453249"/>
    <w:rsid w:val="00455FCC"/>
    <w:rsid w:val="004800FC"/>
    <w:rsid w:val="004825E8"/>
    <w:rsid w:val="00484978"/>
    <w:rsid w:val="004A09B6"/>
    <w:rsid w:val="004A4C5E"/>
    <w:rsid w:val="004B0B8E"/>
    <w:rsid w:val="004B2E4E"/>
    <w:rsid w:val="004D0C4B"/>
    <w:rsid w:val="004D2131"/>
    <w:rsid w:val="004D224F"/>
    <w:rsid w:val="004D64C5"/>
    <w:rsid w:val="004E275F"/>
    <w:rsid w:val="004E4FE3"/>
    <w:rsid w:val="005060C4"/>
    <w:rsid w:val="00515010"/>
    <w:rsid w:val="00521AFD"/>
    <w:rsid w:val="00525F8F"/>
    <w:rsid w:val="005304EA"/>
    <w:rsid w:val="00542B6F"/>
    <w:rsid w:val="005524A0"/>
    <w:rsid w:val="00562512"/>
    <w:rsid w:val="00565B71"/>
    <w:rsid w:val="00565CD3"/>
    <w:rsid w:val="00571290"/>
    <w:rsid w:val="0057378A"/>
    <w:rsid w:val="00577A22"/>
    <w:rsid w:val="005838DE"/>
    <w:rsid w:val="00587CC9"/>
    <w:rsid w:val="00593180"/>
    <w:rsid w:val="005C76DF"/>
    <w:rsid w:val="005F5381"/>
    <w:rsid w:val="006007F5"/>
    <w:rsid w:val="00602D09"/>
    <w:rsid w:val="0060360D"/>
    <w:rsid w:val="00603B8D"/>
    <w:rsid w:val="0062209D"/>
    <w:rsid w:val="00627244"/>
    <w:rsid w:val="00635575"/>
    <w:rsid w:val="00640E6E"/>
    <w:rsid w:val="00641BA6"/>
    <w:rsid w:val="006425E6"/>
    <w:rsid w:val="006430C6"/>
    <w:rsid w:val="00650B18"/>
    <w:rsid w:val="00655497"/>
    <w:rsid w:val="006671EC"/>
    <w:rsid w:val="00677844"/>
    <w:rsid w:val="0068137F"/>
    <w:rsid w:val="00681747"/>
    <w:rsid w:val="00684385"/>
    <w:rsid w:val="006864D8"/>
    <w:rsid w:val="00687F50"/>
    <w:rsid w:val="006939AB"/>
    <w:rsid w:val="006A3610"/>
    <w:rsid w:val="006B3A9C"/>
    <w:rsid w:val="006B55A9"/>
    <w:rsid w:val="006B679E"/>
    <w:rsid w:val="006C1BF1"/>
    <w:rsid w:val="006C6A25"/>
    <w:rsid w:val="006D6F5D"/>
    <w:rsid w:val="006D7035"/>
    <w:rsid w:val="006F1564"/>
    <w:rsid w:val="006F4E9F"/>
    <w:rsid w:val="006F5C84"/>
    <w:rsid w:val="006F74AA"/>
    <w:rsid w:val="00703A59"/>
    <w:rsid w:val="00705824"/>
    <w:rsid w:val="00713943"/>
    <w:rsid w:val="0072428A"/>
    <w:rsid w:val="00740479"/>
    <w:rsid w:val="007479A9"/>
    <w:rsid w:val="007677A1"/>
    <w:rsid w:val="00773A07"/>
    <w:rsid w:val="00773F92"/>
    <w:rsid w:val="00775D29"/>
    <w:rsid w:val="007812AD"/>
    <w:rsid w:val="0078385C"/>
    <w:rsid w:val="00791698"/>
    <w:rsid w:val="007A094A"/>
    <w:rsid w:val="007A34FA"/>
    <w:rsid w:val="007A4BF9"/>
    <w:rsid w:val="007B4AB8"/>
    <w:rsid w:val="007C117A"/>
    <w:rsid w:val="007D078D"/>
    <w:rsid w:val="007D2C26"/>
    <w:rsid w:val="007D3BD0"/>
    <w:rsid w:val="007E61EC"/>
    <w:rsid w:val="007F0805"/>
    <w:rsid w:val="007F5593"/>
    <w:rsid w:val="00805513"/>
    <w:rsid w:val="0080584B"/>
    <w:rsid w:val="008141FC"/>
    <w:rsid w:val="008246D6"/>
    <w:rsid w:val="00825280"/>
    <w:rsid w:val="00832C17"/>
    <w:rsid w:val="00833B6A"/>
    <w:rsid w:val="008403A3"/>
    <w:rsid w:val="00845517"/>
    <w:rsid w:val="0084692F"/>
    <w:rsid w:val="00850CA7"/>
    <w:rsid w:val="00867CD3"/>
    <w:rsid w:val="00867F85"/>
    <w:rsid w:val="008764E3"/>
    <w:rsid w:val="00877252"/>
    <w:rsid w:val="00880B00"/>
    <w:rsid w:val="00883AA3"/>
    <w:rsid w:val="00884D2A"/>
    <w:rsid w:val="00894344"/>
    <w:rsid w:val="008A021E"/>
    <w:rsid w:val="008B6B5D"/>
    <w:rsid w:val="008B7637"/>
    <w:rsid w:val="008D3A75"/>
    <w:rsid w:val="008D6A38"/>
    <w:rsid w:val="008E4462"/>
    <w:rsid w:val="008F6105"/>
    <w:rsid w:val="008F6503"/>
    <w:rsid w:val="009017BF"/>
    <w:rsid w:val="009072B6"/>
    <w:rsid w:val="009074D4"/>
    <w:rsid w:val="009076CE"/>
    <w:rsid w:val="00910399"/>
    <w:rsid w:val="00910791"/>
    <w:rsid w:val="0091099B"/>
    <w:rsid w:val="00916AF6"/>
    <w:rsid w:val="009348F4"/>
    <w:rsid w:val="009404F4"/>
    <w:rsid w:val="00941D02"/>
    <w:rsid w:val="00953B3F"/>
    <w:rsid w:val="00955F45"/>
    <w:rsid w:val="00965753"/>
    <w:rsid w:val="00970D5B"/>
    <w:rsid w:val="00976899"/>
    <w:rsid w:val="009775E8"/>
    <w:rsid w:val="00992939"/>
    <w:rsid w:val="009A1DBA"/>
    <w:rsid w:val="009A41D4"/>
    <w:rsid w:val="009A6BDC"/>
    <w:rsid w:val="009B1BF0"/>
    <w:rsid w:val="009B2CA3"/>
    <w:rsid w:val="009B44F4"/>
    <w:rsid w:val="009B7888"/>
    <w:rsid w:val="009C04AF"/>
    <w:rsid w:val="009C1A9B"/>
    <w:rsid w:val="009D2AE6"/>
    <w:rsid w:val="009D4948"/>
    <w:rsid w:val="009F4B5C"/>
    <w:rsid w:val="00A04984"/>
    <w:rsid w:val="00A10C89"/>
    <w:rsid w:val="00A17A25"/>
    <w:rsid w:val="00A2207B"/>
    <w:rsid w:val="00A369C3"/>
    <w:rsid w:val="00A3738D"/>
    <w:rsid w:val="00A55938"/>
    <w:rsid w:val="00A80708"/>
    <w:rsid w:val="00A91DA1"/>
    <w:rsid w:val="00A93DF1"/>
    <w:rsid w:val="00AB0B99"/>
    <w:rsid w:val="00AB40EF"/>
    <w:rsid w:val="00AC1EF3"/>
    <w:rsid w:val="00AC36EC"/>
    <w:rsid w:val="00AC36FD"/>
    <w:rsid w:val="00AC3B25"/>
    <w:rsid w:val="00AC6AFC"/>
    <w:rsid w:val="00AD18D2"/>
    <w:rsid w:val="00AD24EB"/>
    <w:rsid w:val="00AE4E1A"/>
    <w:rsid w:val="00AF0ED6"/>
    <w:rsid w:val="00B00807"/>
    <w:rsid w:val="00B02202"/>
    <w:rsid w:val="00B04CBF"/>
    <w:rsid w:val="00B1161A"/>
    <w:rsid w:val="00B129B1"/>
    <w:rsid w:val="00B16515"/>
    <w:rsid w:val="00B321D4"/>
    <w:rsid w:val="00B340D6"/>
    <w:rsid w:val="00B34420"/>
    <w:rsid w:val="00B35827"/>
    <w:rsid w:val="00B42FD1"/>
    <w:rsid w:val="00B44796"/>
    <w:rsid w:val="00B52C9E"/>
    <w:rsid w:val="00B56BF3"/>
    <w:rsid w:val="00B7678E"/>
    <w:rsid w:val="00B77950"/>
    <w:rsid w:val="00B83511"/>
    <w:rsid w:val="00B87EDA"/>
    <w:rsid w:val="00B92F91"/>
    <w:rsid w:val="00BB0DBA"/>
    <w:rsid w:val="00BC2CDE"/>
    <w:rsid w:val="00BD1447"/>
    <w:rsid w:val="00BD42ED"/>
    <w:rsid w:val="00BD4EC9"/>
    <w:rsid w:val="00BD5144"/>
    <w:rsid w:val="00BD55A4"/>
    <w:rsid w:val="00BE381C"/>
    <w:rsid w:val="00BF549A"/>
    <w:rsid w:val="00C13A2A"/>
    <w:rsid w:val="00C1664E"/>
    <w:rsid w:val="00C213FF"/>
    <w:rsid w:val="00C41E88"/>
    <w:rsid w:val="00C51A2F"/>
    <w:rsid w:val="00C51FAF"/>
    <w:rsid w:val="00C54418"/>
    <w:rsid w:val="00C54D3C"/>
    <w:rsid w:val="00C61982"/>
    <w:rsid w:val="00C61CA2"/>
    <w:rsid w:val="00C656F0"/>
    <w:rsid w:val="00C73E8A"/>
    <w:rsid w:val="00C81B4A"/>
    <w:rsid w:val="00C84775"/>
    <w:rsid w:val="00C8518A"/>
    <w:rsid w:val="00C857E5"/>
    <w:rsid w:val="00C87FCA"/>
    <w:rsid w:val="00C9096A"/>
    <w:rsid w:val="00C92D20"/>
    <w:rsid w:val="00C93A2E"/>
    <w:rsid w:val="00C96C2C"/>
    <w:rsid w:val="00CA3141"/>
    <w:rsid w:val="00CB114D"/>
    <w:rsid w:val="00CB489C"/>
    <w:rsid w:val="00CC14F4"/>
    <w:rsid w:val="00CC55BD"/>
    <w:rsid w:val="00CD20BF"/>
    <w:rsid w:val="00CD36B7"/>
    <w:rsid w:val="00CD38A2"/>
    <w:rsid w:val="00CD7FAB"/>
    <w:rsid w:val="00CE0951"/>
    <w:rsid w:val="00CE6C22"/>
    <w:rsid w:val="00CF0D8F"/>
    <w:rsid w:val="00CF4894"/>
    <w:rsid w:val="00CF570E"/>
    <w:rsid w:val="00D00140"/>
    <w:rsid w:val="00D04430"/>
    <w:rsid w:val="00D12970"/>
    <w:rsid w:val="00D14ECF"/>
    <w:rsid w:val="00D203AD"/>
    <w:rsid w:val="00D32420"/>
    <w:rsid w:val="00D33465"/>
    <w:rsid w:val="00D44113"/>
    <w:rsid w:val="00D4474C"/>
    <w:rsid w:val="00D44EA0"/>
    <w:rsid w:val="00D5014F"/>
    <w:rsid w:val="00D526DD"/>
    <w:rsid w:val="00D65B18"/>
    <w:rsid w:val="00D71871"/>
    <w:rsid w:val="00D838B4"/>
    <w:rsid w:val="00D8501B"/>
    <w:rsid w:val="00D90B6A"/>
    <w:rsid w:val="00D939B0"/>
    <w:rsid w:val="00D9588B"/>
    <w:rsid w:val="00DA3AA1"/>
    <w:rsid w:val="00DA6331"/>
    <w:rsid w:val="00DB1490"/>
    <w:rsid w:val="00DB4816"/>
    <w:rsid w:val="00DC4F5D"/>
    <w:rsid w:val="00DC64B1"/>
    <w:rsid w:val="00DD2C87"/>
    <w:rsid w:val="00DD2DE0"/>
    <w:rsid w:val="00DD4AD7"/>
    <w:rsid w:val="00DF1E59"/>
    <w:rsid w:val="00DF2594"/>
    <w:rsid w:val="00DF3EB8"/>
    <w:rsid w:val="00DF6A6D"/>
    <w:rsid w:val="00E00DA6"/>
    <w:rsid w:val="00E017B9"/>
    <w:rsid w:val="00E01B7D"/>
    <w:rsid w:val="00E04D54"/>
    <w:rsid w:val="00E11EC8"/>
    <w:rsid w:val="00E14A90"/>
    <w:rsid w:val="00E163B9"/>
    <w:rsid w:val="00E4096A"/>
    <w:rsid w:val="00E57B0F"/>
    <w:rsid w:val="00E60D39"/>
    <w:rsid w:val="00E650FE"/>
    <w:rsid w:val="00E70B1B"/>
    <w:rsid w:val="00E70DC6"/>
    <w:rsid w:val="00E73928"/>
    <w:rsid w:val="00E84B4E"/>
    <w:rsid w:val="00E93F6B"/>
    <w:rsid w:val="00EA0730"/>
    <w:rsid w:val="00EB28EC"/>
    <w:rsid w:val="00EC1393"/>
    <w:rsid w:val="00EC16B3"/>
    <w:rsid w:val="00EC5369"/>
    <w:rsid w:val="00ED0911"/>
    <w:rsid w:val="00EF0BB7"/>
    <w:rsid w:val="00EF5851"/>
    <w:rsid w:val="00F15AFF"/>
    <w:rsid w:val="00F4115A"/>
    <w:rsid w:val="00F4229C"/>
    <w:rsid w:val="00F45AD6"/>
    <w:rsid w:val="00F63E7F"/>
    <w:rsid w:val="00F70EA6"/>
    <w:rsid w:val="00F720A6"/>
    <w:rsid w:val="00F803DD"/>
    <w:rsid w:val="00F836AC"/>
    <w:rsid w:val="00F916A7"/>
    <w:rsid w:val="00FA1AA2"/>
    <w:rsid w:val="00FA6630"/>
    <w:rsid w:val="00FA7F64"/>
    <w:rsid w:val="00FB05DB"/>
    <w:rsid w:val="00FB0EC4"/>
    <w:rsid w:val="00FC31BF"/>
    <w:rsid w:val="00FC50BA"/>
    <w:rsid w:val="00FD1DD9"/>
    <w:rsid w:val="00FD3294"/>
    <w:rsid w:val="00FD3B9F"/>
    <w:rsid w:val="00FE2E37"/>
    <w:rsid w:val="00FE6DA0"/>
    <w:rsid w:val="00FF2D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9657C"/>
  <w15:docId w15:val="{F2086670-1545-4AB5-8F0A-FFA060EC0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9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09D"/>
    <w:rPr>
      <w:rFonts w:ascii="Tahoma" w:hAnsi="Tahoma" w:cs="Tahoma"/>
      <w:sz w:val="16"/>
      <w:szCs w:val="16"/>
    </w:rPr>
  </w:style>
  <w:style w:type="character" w:customStyle="1" w:styleId="a4">
    <w:name w:val="Текст выноски Знак"/>
    <w:basedOn w:val="a0"/>
    <w:link w:val="a3"/>
    <w:uiPriority w:val="99"/>
    <w:semiHidden/>
    <w:rsid w:val="0062209D"/>
    <w:rPr>
      <w:rFonts w:ascii="Tahoma" w:eastAsia="Times New Roman" w:hAnsi="Tahoma" w:cs="Tahoma"/>
      <w:sz w:val="16"/>
      <w:szCs w:val="16"/>
      <w:lang w:eastAsia="ru-RU"/>
    </w:rPr>
  </w:style>
  <w:style w:type="paragraph" w:styleId="a5">
    <w:name w:val="No Spacing"/>
    <w:uiPriority w:val="1"/>
    <w:qFormat/>
    <w:rsid w:val="009C1A9B"/>
    <w:pPr>
      <w:spacing w:after="0" w:line="240" w:lineRule="auto"/>
    </w:pPr>
    <w:rPr>
      <w:rFonts w:ascii="Times New Roman" w:eastAsia="Times New Roman" w:hAnsi="Times New Roman" w:cs="Times New Roman"/>
      <w:sz w:val="24"/>
      <w:szCs w:val="24"/>
      <w:lang w:eastAsia="ru-RU"/>
    </w:rPr>
  </w:style>
  <w:style w:type="paragraph" w:styleId="a6">
    <w:name w:val="Body Text"/>
    <w:basedOn w:val="a"/>
    <w:link w:val="a7"/>
    <w:rsid w:val="006F5C84"/>
    <w:pPr>
      <w:spacing w:after="120"/>
    </w:pPr>
  </w:style>
  <w:style w:type="character" w:customStyle="1" w:styleId="a7">
    <w:name w:val="Основной текст Знак"/>
    <w:basedOn w:val="a0"/>
    <w:link w:val="a6"/>
    <w:rsid w:val="006F5C84"/>
    <w:rPr>
      <w:rFonts w:ascii="Times New Roman" w:eastAsia="Times New Roman" w:hAnsi="Times New Roman" w:cs="Times New Roman"/>
      <w:sz w:val="24"/>
      <w:szCs w:val="24"/>
      <w:lang w:eastAsia="ru-RU"/>
    </w:rPr>
  </w:style>
  <w:style w:type="character" w:styleId="a8">
    <w:name w:val="Emphasis"/>
    <w:qFormat/>
    <w:rsid w:val="006F5C84"/>
    <w:rPr>
      <w:i/>
      <w:iCs/>
    </w:rPr>
  </w:style>
  <w:style w:type="paragraph" w:styleId="a9">
    <w:name w:val="List Paragraph"/>
    <w:basedOn w:val="a"/>
    <w:uiPriority w:val="34"/>
    <w:qFormat/>
    <w:rsid w:val="00AB40EF"/>
    <w:pPr>
      <w:ind w:left="720"/>
      <w:contextualSpacing/>
    </w:pPr>
  </w:style>
  <w:style w:type="paragraph" w:styleId="aa">
    <w:name w:val="Normal (Web)"/>
    <w:basedOn w:val="a"/>
    <w:rsid w:val="00AB40EF"/>
    <w:pPr>
      <w:suppressAutoHyphens/>
      <w:spacing w:after="100"/>
    </w:pPr>
    <w:rPr>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9D4948"/>
    <w:pPr>
      <w:tabs>
        <w:tab w:val="center" w:pos="4153"/>
        <w:tab w:val="right" w:pos="8306"/>
      </w:tabs>
    </w:pPr>
    <w:rPr>
      <w:rFonts w:eastAsia="MS Mincho"/>
      <w:sz w:val="20"/>
      <w:szCs w:val="20"/>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9D4948"/>
    <w:rPr>
      <w:rFonts w:ascii="Times New Roman" w:eastAsia="MS Mincho" w:hAnsi="Times New Roman" w:cs="Times New Roman"/>
      <w:sz w:val="20"/>
      <w:szCs w:val="20"/>
      <w:lang w:eastAsia="ru-RU"/>
    </w:rPr>
  </w:style>
  <w:style w:type="paragraph" w:customStyle="1" w:styleId="ad">
    <w:name w:val="Нормальний текст"/>
    <w:basedOn w:val="a"/>
    <w:rsid w:val="00791698"/>
    <w:pPr>
      <w:spacing w:before="120"/>
      <w:ind w:firstLine="567"/>
    </w:pPr>
    <w:rPr>
      <w:rFonts w:ascii="Antiqua" w:hAnsi="Antiqua"/>
      <w:sz w:val="26"/>
      <w:szCs w:val="20"/>
      <w:lang w:val="uk-UA"/>
    </w:rPr>
  </w:style>
  <w:style w:type="paragraph" w:customStyle="1" w:styleId="Default">
    <w:name w:val="Default"/>
    <w:rsid w:val="009775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
    <w:name w:val="Знак Знак6 Знак Знак Знак Знак"/>
    <w:basedOn w:val="a"/>
    <w:rsid w:val="009775E8"/>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5E0B4-34F5-40F2-9426-B16C96D8A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1190</Words>
  <Characters>6789</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Яковенко Тетяна Миколаївна</cp:lastModifiedBy>
  <cp:revision>3</cp:revision>
  <cp:lastPrinted>2020-07-08T08:10:00Z</cp:lastPrinted>
  <dcterms:created xsi:type="dcterms:W3CDTF">2020-07-23T06:14:00Z</dcterms:created>
  <dcterms:modified xsi:type="dcterms:W3CDTF">2020-07-23T06:16:00Z</dcterms:modified>
</cp:coreProperties>
</file>