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623413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2341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</w:t>
      </w:r>
      <w:r w:rsidR="005B7C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62341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5B7C1D">
        <w:rPr>
          <w:sz w:val="28"/>
          <w:szCs w:val="28"/>
        </w:rPr>
        <w:t xml:space="preserve"> 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5B7C1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5B7C1D">
              <w:rPr>
                <w:sz w:val="28"/>
                <w:szCs w:val="28"/>
              </w:rPr>
              <w:t>Фоменко Тетяні Михайлівні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5B7C1D">
              <w:rPr>
                <w:sz w:val="28"/>
                <w:szCs w:val="28"/>
              </w:rPr>
              <w:t xml:space="preserve">                    вул. Гостинна</w:t>
            </w:r>
            <w:r w:rsidR="00623413">
              <w:rPr>
                <w:sz w:val="28"/>
                <w:szCs w:val="28"/>
              </w:rPr>
              <w:t>, орієнтовною площею 0,0300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5B7C1D">
        <w:rPr>
          <w:sz w:val="28"/>
          <w:szCs w:val="28"/>
        </w:rPr>
        <w:t>ки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23413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623413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5B7C1D">
        <w:rPr>
          <w:sz w:val="28"/>
          <w:szCs w:val="28"/>
        </w:rPr>
        <w:t>Фоменко Тетяні Михайлівні</w:t>
      </w:r>
      <w:r w:rsidR="005B7C1D" w:rsidRPr="0096039E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5B7C1D">
        <w:rPr>
          <w:sz w:val="28"/>
          <w:szCs w:val="28"/>
        </w:rPr>
        <w:t>вул. Гостинна</w:t>
      </w:r>
      <w:r w:rsidR="00D90D1E">
        <w:rPr>
          <w:sz w:val="28"/>
          <w:szCs w:val="28"/>
        </w:rPr>
        <w:t>,</w:t>
      </w:r>
      <w:r w:rsidR="005B7C1D">
        <w:rPr>
          <w:sz w:val="28"/>
          <w:szCs w:val="28"/>
        </w:rPr>
        <w:t xml:space="preserve"> орієнтовною площею 0,03</w:t>
      </w:r>
      <w:r w:rsidR="000744C0">
        <w:rPr>
          <w:sz w:val="28"/>
          <w:szCs w:val="28"/>
        </w:rPr>
        <w:t xml:space="preserve">00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0744C0">
        <w:rPr>
          <w:szCs w:val="28"/>
        </w:rPr>
        <w:t>, згідно з яким земельна ділянка знаходи</w:t>
      </w:r>
      <w:r>
        <w:rPr>
          <w:szCs w:val="28"/>
        </w:rPr>
        <w:t xml:space="preserve">ться </w:t>
      </w:r>
      <w:r w:rsidR="005B7C1D">
        <w:rPr>
          <w:szCs w:val="28"/>
        </w:rPr>
        <w:t>в зоні садибної житлової забудови Ж-1</w:t>
      </w:r>
      <w:r>
        <w:rPr>
          <w:szCs w:val="28"/>
        </w:rPr>
        <w:t xml:space="preserve">, де розміщення земельних ділянок для індивідуального </w:t>
      </w:r>
      <w:r w:rsidR="000744C0">
        <w:rPr>
          <w:szCs w:val="28"/>
        </w:rPr>
        <w:t>садівництва</w:t>
      </w:r>
      <w:r>
        <w:rPr>
          <w:szCs w:val="28"/>
        </w:rPr>
        <w:t xml:space="preserve">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ДБН 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 xml:space="preserve">, згідно з яким </w:t>
      </w:r>
      <w:r w:rsidR="00304C64"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623413" w:rsidRDefault="00623413" w:rsidP="000C353F">
      <w:pPr>
        <w:jc w:val="both"/>
        <w:rPr>
          <w:sz w:val="24"/>
          <w:szCs w:val="24"/>
        </w:rPr>
      </w:pPr>
    </w:p>
    <w:p w:rsidR="00623413" w:rsidRDefault="00623413" w:rsidP="000C353F">
      <w:pPr>
        <w:jc w:val="both"/>
        <w:rPr>
          <w:sz w:val="24"/>
          <w:szCs w:val="24"/>
        </w:rPr>
      </w:pPr>
    </w:p>
    <w:p w:rsidR="00623413" w:rsidRDefault="00623413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sectPr w:rsidR="00422B54" w:rsidSect="000744C0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B7C1D"/>
    <w:rsid w:val="005C78FC"/>
    <w:rsid w:val="005C7C8D"/>
    <w:rsid w:val="005E793A"/>
    <w:rsid w:val="00612FEB"/>
    <w:rsid w:val="00614BAD"/>
    <w:rsid w:val="00623413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67F09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34B6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4CE5-39CB-4F90-AA96-5BA94045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250</cp:revision>
  <cp:lastPrinted>2021-02-09T11:47:00Z</cp:lastPrinted>
  <dcterms:created xsi:type="dcterms:W3CDTF">2017-12-04T08:13:00Z</dcterms:created>
  <dcterms:modified xsi:type="dcterms:W3CDTF">2021-03-16T09:07:00Z</dcterms:modified>
</cp:coreProperties>
</file>