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8779E5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FE11A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8779E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8779E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8779E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8779E5">
              <w:rPr>
                <w:color w:val="000000" w:themeColor="text1"/>
                <w:sz w:val="28"/>
                <w:szCs w:val="28"/>
                <w:lang w:val="uk-UA"/>
              </w:rPr>
              <w:t>Біллеру</w:t>
            </w:r>
            <w:proofErr w:type="spellEnd"/>
            <w:r w:rsidR="008779E5">
              <w:rPr>
                <w:color w:val="000000" w:themeColor="text1"/>
                <w:sz w:val="28"/>
                <w:szCs w:val="28"/>
                <w:lang w:val="uk-UA"/>
              </w:rPr>
              <w:t xml:space="preserve"> Геннадію Геннадійовичу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779E5">
              <w:rPr>
                <w:color w:val="000000" w:themeColor="text1"/>
                <w:sz w:val="28"/>
                <w:szCs w:val="28"/>
                <w:lang w:val="uk-UA"/>
              </w:rPr>
              <w:t>вул. Оксамитова, 1, площею 0,1000 га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8779E5" w:rsidRDefault="008779E5" w:rsidP="00CD2AEE">
      <w:pPr>
        <w:jc w:val="both"/>
        <w:rPr>
          <w:sz w:val="28"/>
          <w:szCs w:val="28"/>
          <w:lang w:val="uk-UA"/>
        </w:rPr>
      </w:pPr>
    </w:p>
    <w:p w:rsidR="00FE11A8" w:rsidRDefault="00FE11A8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5868FB">
        <w:rPr>
          <w:sz w:val="28"/>
          <w:szCs w:val="28"/>
          <w:lang w:val="uk-UA"/>
        </w:rPr>
        <w:t>ураховуючи протокол</w:t>
      </w:r>
      <w:bookmarkStart w:id="0" w:name="_GoBack"/>
      <w:bookmarkEnd w:id="0"/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FE11A8">
        <w:rPr>
          <w:sz w:val="28"/>
          <w:szCs w:val="28"/>
          <w:lang w:val="uk-UA"/>
        </w:rPr>
        <w:t xml:space="preserve"> 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E11A8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</w:t>
      </w:r>
      <w:r w:rsidRPr="00934342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934342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934342">
        <w:rPr>
          <w:color w:val="000000" w:themeColor="text1"/>
          <w:sz w:val="28"/>
          <w:szCs w:val="28"/>
          <w:lang w:val="uk-UA"/>
        </w:rPr>
        <w:br/>
      </w:r>
      <w:r w:rsidR="00FE79AC" w:rsidRPr="00934342">
        <w:rPr>
          <w:color w:val="000000" w:themeColor="text1"/>
          <w:sz w:val="28"/>
          <w:szCs w:val="28"/>
          <w:lang w:val="uk-UA"/>
        </w:rPr>
        <w:t>«</w:t>
      </w:r>
      <w:r w:rsidR="00D81948">
        <w:rPr>
          <w:color w:val="000000" w:themeColor="text1"/>
          <w:sz w:val="28"/>
          <w:szCs w:val="28"/>
          <w:shd w:val="clear" w:color="auto" w:fill="FFFFFF"/>
          <w:lang w:val="uk-UA"/>
        </w:rPr>
        <w:t>для</w:t>
      </w:r>
      <w:r w:rsidR="00934342" w:rsidRPr="009343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індивідуального садівництва</w:t>
      </w:r>
      <w:r w:rsidR="00FE79AC" w:rsidRPr="00934342">
        <w:rPr>
          <w:color w:val="000000" w:themeColor="text1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</w:t>
      </w:r>
      <w:r w:rsidR="00934342">
        <w:rPr>
          <w:sz w:val="28"/>
          <w:szCs w:val="27"/>
          <w:lang w:val="uk-UA"/>
        </w:rPr>
        <w:t xml:space="preserve">вул. Оксамитова, 1,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934342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>5924788700:03:001:0032</w:t>
      </w:r>
      <w:r w:rsidR="00274707" w:rsidRPr="00934342">
        <w:rPr>
          <w:color w:val="000000" w:themeColor="text1"/>
          <w:sz w:val="28"/>
          <w:szCs w:val="28"/>
          <w:lang w:val="uk-UA"/>
        </w:rPr>
        <w:t>,</w:t>
      </w:r>
      <w:r w:rsidR="00DF6D68" w:rsidRPr="00934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A27559">
        <w:rPr>
          <w:color w:val="000000" w:themeColor="text1"/>
          <w:sz w:val="28"/>
          <w:szCs w:val="28"/>
          <w:lang w:val="uk-UA"/>
        </w:rPr>
        <w:t>площею</w:t>
      </w:r>
      <w:r w:rsidR="00A27559"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934342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>0,1000</w:t>
      </w:r>
      <w:r w:rsidR="00A27559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>перебуває в приватній власності</w:t>
      </w:r>
      <w:r w:rsidR="001A6399">
        <w:rPr>
          <w:sz w:val="28"/>
          <w:szCs w:val="28"/>
          <w:lang w:val="uk-UA"/>
        </w:rPr>
        <w:t xml:space="preserve"> </w:t>
      </w:r>
      <w:proofErr w:type="spellStart"/>
      <w:r w:rsidR="001A6399">
        <w:rPr>
          <w:color w:val="000000" w:themeColor="text1"/>
          <w:sz w:val="28"/>
          <w:szCs w:val="28"/>
          <w:lang w:val="uk-UA"/>
        </w:rPr>
        <w:t>Біллера</w:t>
      </w:r>
      <w:proofErr w:type="spellEnd"/>
      <w:r w:rsidR="001A6399">
        <w:rPr>
          <w:color w:val="000000" w:themeColor="text1"/>
          <w:sz w:val="28"/>
          <w:szCs w:val="28"/>
          <w:lang w:val="uk-UA"/>
        </w:rPr>
        <w:t xml:space="preserve"> Геннадія Геннадійовича</w:t>
      </w:r>
      <w:r w:rsidR="00EB0374">
        <w:rPr>
          <w:sz w:val="28"/>
          <w:szCs w:val="28"/>
          <w:lang w:val="uk-UA"/>
        </w:rPr>
        <w:t xml:space="preserve"> </w:t>
      </w:r>
      <w:r w:rsidR="00245C78">
        <w:rPr>
          <w:sz w:val="28"/>
          <w:szCs w:val="28"/>
          <w:lang w:val="uk-UA"/>
        </w:rPr>
        <w:t>(</w:t>
      </w:r>
      <w:r w:rsidR="001A6399">
        <w:rPr>
          <w:sz w:val="28"/>
          <w:szCs w:val="28"/>
          <w:lang w:val="uk-UA"/>
        </w:rPr>
        <w:t>2625902859</w:t>
      </w:r>
      <w:r w:rsidR="00245C78">
        <w:rPr>
          <w:sz w:val="28"/>
          <w:szCs w:val="28"/>
          <w:lang w:val="uk-UA"/>
        </w:rPr>
        <w:t xml:space="preserve">)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D81948">
        <w:rPr>
          <w:sz w:val="28"/>
          <w:szCs w:val="28"/>
          <w:lang w:val="uk-UA"/>
        </w:rPr>
        <w:t>155976040</w:t>
      </w:r>
      <w:r w:rsidR="00517BE0">
        <w:rPr>
          <w:sz w:val="28"/>
          <w:szCs w:val="28"/>
          <w:lang w:val="uk-UA"/>
        </w:rPr>
        <w:t xml:space="preserve"> </w:t>
      </w:r>
      <w:r w:rsidR="00D81948">
        <w:rPr>
          <w:sz w:val="28"/>
          <w:szCs w:val="28"/>
          <w:lang w:val="uk-UA"/>
        </w:rPr>
        <w:t>від 12.02.2019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81948">
        <w:rPr>
          <w:sz w:val="28"/>
          <w:szCs w:val="28"/>
          <w:lang w:val="uk-UA"/>
        </w:rPr>
        <w:t xml:space="preserve"> 1445485659247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E6A7B" w:rsidRPr="00AF7866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E6A7B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6399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868FB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779E5"/>
    <w:rsid w:val="008B1896"/>
    <w:rsid w:val="008B6D54"/>
    <w:rsid w:val="008B7C18"/>
    <w:rsid w:val="008D0B0F"/>
    <w:rsid w:val="0092154B"/>
    <w:rsid w:val="00934342"/>
    <w:rsid w:val="00934AFB"/>
    <w:rsid w:val="009644D6"/>
    <w:rsid w:val="009719B5"/>
    <w:rsid w:val="00983F18"/>
    <w:rsid w:val="009A1585"/>
    <w:rsid w:val="009A1C9E"/>
    <w:rsid w:val="009D5934"/>
    <w:rsid w:val="009E6A7B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80AA5"/>
    <w:rsid w:val="00FE11A8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04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75F1-A3A3-4A2D-B325-8679DD29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103</cp:revision>
  <cp:lastPrinted>2020-11-02T09:01:00Z</cp:lastPrinted>
  <dcterms:created xsi:type="dcterms:W3CDTF">2019-06-25T07:01:00Z</dcterms:created>
  <dcterms:modified xsi:type="dcterms:W3CDTF">2021-03-03T09:11:00Z</dcterms:modified>
</cp:coreProperties>
</file>