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E230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B0301B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0E2303">
              <w:rPr>
                <w:sz w:val="28"/>
                <w:szCs w:val="28"/>
                <w:lang w:val="uk-UA"/>
              </w:rPr>
              <w:t>Тарасовій Тетяні Борисівні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0E2303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2E08E3">
              <w:rPr>
                <w:sz w:val="28"/>
                <w:szCs w:val="28"/>
                <w:lang w:val="uk-UA"/>
              </w:rPr>
              <w:t xml:space="preserve">вул. </w:t>
            </w:r>
            <w:r w:rsidR="000E2303">
              <w:rPr>
                <w:sz w:val="28"/>
                <w:szCs w:val="28"/>
                <w:lang w:val="uk-UA"/>
              </w:rPr>
              <w:t>Петропавлівська, 123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0E2303">
              <w:rPr>
                <w:sz w:val="28"/>
                <w:szCs w:val="28"/>
                <w:lang w:val="uk-UA"/>
              </w:rPr>
              <w:t>0,0047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="000E2303">
        <w:rPr>
          <w:sz w:val="28"/>
          <w:szCs w:val="28"/>
          <w:lang w:val="uk-UA"/>
        </w:rPr>
        <w:t>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           2021 року </w:t>
      </w:r>
      <w:r w:rsidR="005D0CC7" w:rsidRPr="00242B77">
        <w:rPr>
          <w:sz w:val="28"/>
          <w:szCs w:val="28"/>
          <w:lang w:val="uk-UA"/>
        </w:rPr>
        <w:t>№</w:t>
      </w:r>
      <w:r w:rsidR="00B0301B">
        <w:rPr>
          <w:sz w:val="28"/>
          <w:szCs w:val="28"/>
          <w:lang w:val="uk-UA"/>
        </w:rPr>
        <w:t xml:space="preserve"> 21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                         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E2303">
        <w:rPr>
          <w:sz w:val="28"/>
          <w:szCs w:val="28"/>
          <w:lang w:val="uk-UA"/>
        </w:rPr>
        <w:t xml:space="preserve">Громадянці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E2303" w:rsidRPr="008134BB">
        <w:rPr>
          <w:sz w:val="28"/>
          <w:szCs w:val="28"/>
          <w:lang w:val="uk-UA"/>
        </w:rPr>
        <w:t xml:space="preserve">Про </w:t>
      </w:r>
      <w:r w:rsidR="000E2303">
        <w:rPr>
          <w:sz w:val="28"/>
          <w:szCs w:val="28"/>
          <w:lang w:val="uk-UA"/>
        </w:rPr>
        <w:t>надання в оренду земельної ділянки  Тарасовій Тетяні Борисівні за адресою: м. Суми,                                                    вул. Петропавлівська, 123, площею 0,0047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2693"/>
        <w:gridCol w:w="6154"/>
        <w:gridCol w:w="1701"/>
        <w:gridCol w:w="2269"/>
        <w:gridCol w:w="1844"/>
      </w:tblGrid>
      <w:tr w:rsidR="00B0301B" w:rsidRPr="004F580C" w:rsidTr="00B0301B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Default="00B0301B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B0301B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0301B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0301B" w:rsidRPr="00862403" w:rsidRDefault="00B0301B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B" w:rsidRPr="00862403" w:rsidRDefault="00B0301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0301B" w:rsidRPr="004F580C" w:rsidTr="00B0301B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B" w:rsidRPr="004F580C" w:rsidRDefault="00B0301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0301B" w:rsidRPr="00B3227B" w:rsidTr="00B0301B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B0301B" w:rsidRDefault="00B0301B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8" w:type="pct"/>
            <w:shd w:val="clear" w:color="auto" w:fill="auto"/>
          </w:tcPr>
          <w:p w:rsidR="00B0301B" w:rsidRDefault="00B0301B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Тарасова Тетяна Борисівна,</w:t>
            </w:r>
          </w:p>
          <w:p w:rsidR="00B0301B" w:rsidRDefault="00B0301B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1948405808</w:t>
            </w:r>
          </w:p>
          <w:p w:rsidR="00B0301B" w:rsidRPr="00AD7529" w:rsidRDefault="00B0301B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2029" w:type="pct"/>
            <w:shd w:val="clear" w:color="auto" w:fill="auto"/>
          </w:tcPr>
          <w:p w:rsidR="00B0301B" w:rsidRPr="008D19C1" w:rsidRDefault="00B0301B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гаражем</w:t>
            </w:r>
          </w:p>
          <w:p w:rsidR="00B0301B" w:rsidRPr="00F44427" w:rsidRDefault="00B0301B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123</w:t>
            </w:r>
          </w:p>
          <w:p w:rsidR="00B0301B" w:rsidRDefault="00B0301B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013</w:t>
            </w:r>
          </w:p>
          <w:p w:rsidR="00B0301B" w:rsidRPr="00F44427" w:rsidRDefault="00B0301B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0301B" w:rsidRDefault="00B0301B" w:rsidP="00CC367A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38145933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12.09.2020,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2166326959101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B0301B" w:rsidRDefault="00B0301B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0,0047</w:t>
            </w:r>
          </w:p>
          <w:p w:rsidR="00B0301B" w:rsidRDefault="00B0301B" w:rsidP="000E2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B0301B" w:rsidRPr="000B674F" w:rsidRDefault="00B0301B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B0301B" w:rsidRDefault="00B0301B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</w:p>
        </w:tc>
      </w:tr>
    </w:tbl>
    <w:p w:rsidR="00B0301B" w:rsidRDefault="00B0301B" w:rsidP="00A54412">
      <w:pPr>
        <w:rPr>
          <w:sz w:val="28"/>
          <w:szCs w:val="28"/>
        </w:rPr>
      </w:pPr>
    </w:p>
    <w:p w:rsidR="00B0301B" w:rsidRDefault="00B0301B" w:rsidP="00A54412">
      <w:pPr>
        <w:rPr>
          <w:sz w:val="28"/>
          <w:szCs w:val="28"/>
        </w:rPr>
      </w:pPr>
    </w:p>
    <w:p w:rsidR="00B0301B" w:rsidRDefault="00B0301B" w:rsidP="00A54412">
      <w:pPr>
        <w:rPr>
          <w:sz w:val="28"/>
          <w:szCs w:val="28"/>
        </w:rPr>
      </w:pPr>
    </w:p>
    <w:p w:rsidR="00B0301B" w:rsidRPr="0019091D" w:rsidRDefault="00B0301B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2303"/>
    <w:rsid w:val="000F3585"/>
    <w:rsid w:val="000F634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04A2A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05DB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01B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67A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DF3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CE6C-4B0E-4AA5-905C-A1CD5A2E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2021-06-15T07:03:00Z</cp:lastPrinted>
  <dcterms:created xsi:type="dcterms:W3CDTF">2021-06-15T07:03:00Z</dcterms:created>
  <dcterms:modified xsi:type="dcterms:W3CDTF">2021-06-15T07:03:00Z</dcterms:modified>
</cp:coreProperties>
</file>