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5A405F" w:rsidTr="00AB69B9">
        <w:trPr>
          <w:trHeight w:val="284"/>
        </w:trPr>
        <w:tc>
          <w:tcPr>
            <w:tcW w:w="4819" w:type="dxa"/>
            <w:tcBorders>
              <w:top w:val="nil"/>
              <w:left w:val="nil"/>
              <w:bottom w:val="nil"/>
              <w:right w:val="nil"/>
            </w:tcBorders>
          </w:tcPr>
          <w:p w:rsidR="000A6E76" w:rsidRPr="002258AA" w:rsidRDefault="000A6E76" w:rsidP="005A405F">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5A405F">
              <w:rPr>
                <w:sz w:val="28"/>
                <w:szCs w:val="28"/>
                <w:lang w:val="uk-UA"/>
              </w:rPr>
              <w:t>Тозлован</w:t>
            </w:r>
            <w:proofErr w:type="spellEnd"/>
            <w:r w:rsidR="005A405F">
              <w:rPr>
                <w:sz w:val="28"/>
                <w:szCs w:val="28"/>
                <w:lang w:val="uk-UA"/>
              </w:rPr>
              <w:t xml:space="preserve"> Наталії Миколаївні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5A405F">
              <w:rPr>
                <w:sz w:val="28"/>
                <w:szCs w:val="28"/>
                <w:lang w:val="uk-UA"/>
              </w:rPr>
              <w:t xml:space="preserve">1,7971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CB640D" w:rsidRDefault="00CB640D" w:rsidP="00881E7E">
      <w:pPr>
        <w:ind w:firstLine="709"/>
        <w:jc w:val="both"/>
        <w:rPr>
          <w:b/>
          <w:sz w:val="28"/>
          <w:szCs w:val="28"/>
          <w:lang w:val="uk-UA"/>
        </w:rPr>
      </w:pPr>
      <w:r>
        <w:rPr>
          <w:sz w:val="28"/>
          <w:szCs w:val="28"/>
          <w:lang w:val="uk-UA"/>
        </w:rPr>
        <w:t>Розглянувши зверненн</w:t>
      </w:r>
      <w:r w:rsidR="00ED42CC">
        <w:rPr>
          <w:sz w:val="28"/>
          <w:szCs w:val="28"/>
          <w:lang w:val="uk-UA"/>
        </w:rPr>
        <w:t>я громадянки, надані документи</w:t>
      </w:r>
      <w:r>
        <w:rPr>
          <w:sz w:val="28"/>
          <w:szCs w:val="28"/>
          <w:lang w:val="uk-UA"/>
        </w:rPr>
        <w:t xml:space="preserve">, відповідно до </w:t>
      </w:r>
      <w:r w:rsidR="00BD5EE4">
        <w:rPr>
          <w:sz w:val="28"/>
          <w:szCs w:val="28"/>
          <w:lang w:val="uk-UA"/>
        </w:rPr>
        <w:t>статті</w:t>
      </w:r>
      <w:r w:rsidR="00844DC2">
        <w:rPr>
          <w:sz w:val="28"/>
          <w:szCs w:val="28"/>
          <w:lang w:val="uk-UA"/>
        </w:rPr>
        <w:t xml:space="preserve"> 12, </w:t>
      </w:r>
      <w:r w:rsidR="002746FA">
        <w:rPr>
          <w:sz w:val="28"/>
          <w:szCs w:val="28"/>
          <w:lang w:val="uk-UA"/>
        </w:rPr>
        <w:t xml:space="preserve">частини </w:t>
      </w:r>
      <w:r w:rsidR="00585329">
        <w:rPr>
          <w:sz w:val="28"/>
          <w:szCs w:val="28"/>
          <w:lang w:val="uk-UA"/>
        </w:rPr>
        <w:t>дев</w:t>
      </w:r>
      <w:r w:rsidR="00585329" w:rsidRPr="00585329">
        <w:rPr>
          <w:sz w:val="28"/>
          <w:szCs w:val="28"/>
          <w:lang w:val="uk-UA"/>
        </w:rPr>
        <w:t>’</w:t>
      </w:r>
      <w:r w:rsidR="002746FA">
        <w:rPr>
          <w:sz w:val="28"/>
          <w:szCs w:val="28"/>
          <w:lang w:val="uk-UA"/>
        </w:rPr>
        <w:t>ятої</w:t>
      </w:r>
      <w:r w:rsidR="00585329">
        <w:rPr>
          <w:sz w:val="28"/>
          <w:szCs w:val="28"/>
          <w:lang w:val="uk-UA"/>
        </w:rPr>
        <w:t xml:space="preserve"> статті </w:t>
      </w:r>
      <w:r w:rsidR="00844DC2">
        <w:rPr>
          <w:sz w:val="28"/>
          <w:szCs w:val="28"/>
          <w:lang w:val="uk-UA"/>
        </w:rPr>
        <w:t>20</w:t>
      </w:r>
      <w:r w:rsidR="00B73B8A">
        <w:rPr>
          <w:sz w:val="28"/>
          <w:szCs w:val="28"/>
          <w:lang w:val="uk-UA"/>
        </w:rPr>
        <w:t>, пункту 6 частини третьої</w:t>
      </w:r>
      <w:r w:rsidR="00B73B8A" w:rsidRPr="00745456">
        <w:rPr>
          <w:sz w:val="28"/>
          <w:szCs w:val="28"/>
          <w:lang w:val="uk-UA"/>
        </w:rPr>
        <w:t xml:space="preserve"> статті</w:t>
      </w:r>
      <w:r w:rsidR="00BA1554">
        <w:rPr>
          <w:sz w:val="28"/>
          <w:szCs w:val="28"/>
          <w:lang w:val="uk-UA"/>
        </w:rPr>
        <w:t xml:space="preserve"> 186 Земельного кодексу України</w:t>
      </w:r>
      <w:r w:rsidR="00987501">
        <w:rPr>
          <w:sz w:val="28"/>
          <w:szCs w:val="28"/>
          <w:lang w:val="uk-UA"/>
        </w:rPr>
        <w:t xml:space="preserve">, </w:t>
      </w:r>
      <w:r w:rsidR="00BA1554" w:rsidRPr="00097B25">
        <w:rPr>
          <w:rStyle w:val="rvts46"/>
          <w:iCs/>
          <w:color w:val="000000" w:themeColor="text1"/>
          <w:sz w:val="28"/>
          <w:szCs w:val="28"/>
          <w:shd w:val="clear" w:color="auto" w:fill="FFFFFF"/>
          <w:lang w:val="uk-UA"/>
        </w:rPr>
        <w:t>частини третьої статті 29</w:t>
      </w:r>
      <w:r w:rsidR="00BA1554">
        <w:rPr>
          <w:rStyle w:val="rvts46"/>
          <w:iCs/>
          <w:color w:val="000000" w:themeColor="text1"/>
          <w:sz w:val="28"/>
          <w:szCs w:val="28"/>
          <w:shd w:val="clear" w:color="auto" w:fill="FFFFFF"/>
          <w:lang w:val="uk-UA"/>
        </w:rPr>
        <w:t>,</w:t>
      </w:r>
      <w:r w:rsidR="00BA1554" w:rsidRPr="00097B25">
        <w:rPr>
          <w:rStyle w:val="rvts46"/>
          <w:iCs/>
          <w:color w:val="000000" w:themeColor="text1"/>
          <w:sz w:val="28"/>
          <w:szCs w:val="28"/>
          <w:shd w:val="clear" w:color="auto" w:fill="FFFFFF"/>
          <w:lang w:val="uk-UA"/>
        </w:rPr>
        <w:t xml:space="preserve"> </w:t>
      </w:r>
      <w:r w:rsidR="00BA1554" w:rsidRPr="00D433CA">
        <w:rPr>
          <w:bCs/>
          <w:color w:val="000000" w:themeColor="text1"/>
          <w:sz w:val="28"/>
          <w:szCs w:val="28"/>
          <w:shd w:val="clear" w:color="auto" w:fill="FFFFFF"/>
          <w:lang w:val="uk-UA"/>
        </w:rPr>
        <w:t>частини т</w:t>
      </w:r>
      <w:r w:rsidR="003474B1">
        <w:rPr>
          <w:bCs/>
          <w:color w:val="000000" w:themeColor="text1"/>
          <w:sz w:val="28"/>
          <w:szCs w:val="28"/>
          <w:shd w:val="clear" w:color="auto" w:fill="FFFFFF"/>
          <w:lang w:val="uk-UA"/>
        </w:rPr>
        <w:t>ретьої статті 50 Закону України</w:t>
      </w:r>
      <w:r w:rsidR="00BD5EE4">
        <w:rPr>
          <w:bCs/>
          <w:color w:val="000000" w:themeColor="text1"/>
          <w:sz w:val="28"/>
          <w:szCs w:val="28"/>
          <w:shd w:val="clear" w:color="auto" w:fill="FFFFFF"/>
          <w:lang w:val="uk-UA"/>
        </w:rPr>
        <w:t xml:space="preserve"> </w:t>
      </w:r>
      <w:r w:rsidR="00BA1554" w:rsidRPr="00D433CA">
        <w:rPr>
          <w:bCs/>
          <w:color w:val="000000" w:themeColor="text1"/>
          <w:sz w:val="28"/>
          <w:szCs w:val="28"/>
          <w:shd w:val="clear" w:color="auto" w:fill="FFFFFF"/>
          <w:lang w:val="uk-UA"/>
        </w:rPr>
        <w:t>«Про землеустрій»</w:t>
      </w:r>
      <w:r w:rsidR="00987501">
        <w:rPr>
          <w:sz w:val="28"/>
          <w:szCs w:val="28"/>
          <w:lang w:val="uk-UA"/>
        </w:rPr>
        <w:t xml:space="preserve">, </w:t>
      </w:r>
      <w:r w:rsidR="003474B1">
        <w:rPr>
          <w:sz w:val="28"/>
          <w:lang w:val="uk-UA"/>
        </w:rPr>
        <w:t>частини</w:t>
      </w:r>
      <w:r w:rsidR="00BA1554">
        <w:rPr>
          <w:sz w:val="28"/>
          <w:lang w:val="uk-UA"/>
        </w:rPr>
        <w:t xml:space="preserve"> чет</w:t>
      </w:r>
      <w:r w:rsidR="003474B1">
        <w:rPr>
          <w:sz w:val="28"/>
          <w:lang w:val="uk-UA"/>
        </w:rPr>
        <w:t>вертої статті 24 Закону України</w:t>
      </w:r>
      <w:r w:rsidR="00606852">
        <w:rPr>
          <w:sz w:val="28"/>
          <w:lang w:val="uk-UA"/>
        </w:rPr>
        <w:t xml:space="preserve"> </w:t>
      </w:r>
      <w:r w:rsidR="00BA1554">
        <w:rPr>
          <w:sz w:val="28"/>
          <w:lang w:val="uk-UA"/>
        </w:rPr>
        <w:t xml:space="preserve">«Про регулювання містобудівної діяльності», </w:t>
      </w:r>
      <w:r w:rsidR="00061D0D">
        <w:rPr>
          <w:sz w:val="28"/>
          <w:szCs w:val="28"/>
          <w:lang w:val="uk-UA"/>
        </w:rPr>
        <w:t>частини четвертої</w:t>
      </w:r>
      <w:r w:rsidR="00987501" w:rsidRPr="004834B3">
        <w:rPr>
          <w:sz w:val="28"/>
          <w:szCs w:val="28"/>
          <w:lang w:val="uk-UA"/>
        </w:rPr>
        <w:t xml:space="preserve"> статті 15 Закону України «Про доступ до публічної інформації», </w:t>
      </w:r>
      <w:r w:rsidR="001A7DC0">
        <w:rPr>
          <w:sz w:val="28"/>
          <w:szCs w:val="28"/>
          <w:lang w:val="uk-UA"/>
        </w:rPr>
        <w:t>ураховуючи протокол</w:t>
      </w:r>
      <w:r>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w:t>
      </w:r>
      <w:r w:rsidR="00B22F27">
        <w:rPr>
          <w:sz w:val="28"/>
          <w:szCs w:val="28"/>
          <w:lang w:val="uk-UA"/>
        </w:rPr>
        <w:t>Сумської міської ради</w:t>
      </w:r>
      <w:r w:rsidR="003474B1">
        <w:rPr>
          <w:sz w:val="28"/>
          <w:szCs w:val="28"/>
          <w:lang w:val="uk-UA"/>
        </w:rPr>
        <w:t xml:space="preserve"> </w:t>
      </w:r>
      <w:r w:rsidR="008328FB">
        <w:rPr>
          <w:sz w:val="28"/>
          <w:szCs w:val="28"/>
          <w:lang w:val="uk-UA"/>
        </w:rPr>
        <w:t>від</w:t>
      </w:r>
      <w:r w:rsidR="00720835">
        <w:rPr>
          <w:sz w:val="28"/>
          <w:szCs w:val="28"/>
          <w:lang w:val="uk-UA"/>
        </w:rPr>
        <w:t xml:space="preserve"> </w:t>
      </w:r>
      <w:r w:rsidR="003474B1">
        <w:rPr>
          <w:sz w:val="28"/>
          <w:szCs w:val="28"/>
          <w:lang w:val="uk-UA"/>
        </w:rPr>
        <w:t>07.10.2021 № 37</w:t>
      </w:r>
      <w:r>
        <w:rPr>
          <w:sz w:val="28"/>
          <w:szCs w:val="28"/>
          <w:lang w:val="uk-UA"/>
        </w:rPr>
        <w:t xml:space="preserve">, </w:t>
      </w:r>
      <w:r w:rsidR="006D126F">
        <w:rPr>
          <w:sz w:val="28"/>
          <w:szCs w:val="28"/>
          <w:lang w:val="uk-UA"/>
        </w:rPr>
        <w:t>керуючись пунктом</w:t>
      </w:r>
      <w:r>
        <w:rPr>
          <w:sz w:val="28"/>
          <w:szCs w:val="28"/>
          <w:lang w:val="uk-UA"/>
        </w:rPr>
        <w:t xml:space="preserve"> 34 частини першої статті 26 Закону України «Про місцеве самоврядування в Україні», </w:t>
      </w:r>
      <w:r>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5A405F">
        <w:rPr>
          <w:sz w:val="28"/>
          <w:szCs w:val="28"/>
          <w:lang w:val="uk-UA"/>
        </w:rPr>
        <w:t>Тозлован</w:t>
      </w:r>
      <w:proofErr w:type="spellEnd"/>
      <w:r w:rsidR="005A405F">
        <w:rPr>
          <w:sz w:val="28"/>
          <w:szCs w:val="28"/>
          <w:lang w:val="uk-UA"/>
        </w:rPr>
        <w:t xml:space="preserve"> Наталії Миколаївні</w:t>
      </w:r>
      <w:r w:rsidR="005A405F" w:rsidRPr="00B83A69">
        <w:rPr>
          <w:color w:val="000000" w:themeColor="text1"/>
          <w:sz w:val="28"/>
          <w:szCs w:val="28"/>
          <w:lang w:val="uk-UA"/>
        </w:rPr>
        <w:t xml:space="preserve">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5A405F" w:rsidRPr="005A405F">
        <w:rPr>
          <w:color w:val="000000" w:themeColor="text1"/>
          <w:sz w:val="28"/>
          <w:szCs w:val="28"/>
          <w:shd w:val="clear" w:color="auto" w:fill="FFFFFF"/>
          <w:lang w:val="ru-RU"/>
        </w:rPr>
        <w:t>5910136300:13:003:0122</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w:t>
      </w:r>
      <w:r w:rsidR="005A405F">
        <w:rPr>
          <w:color w:val="000000" w:themeColor="text1"/>
          <w:sz w:val="28"/>
          <w:szCs w:val="28"/>
          <w:lang w:val="uk-UA"/>
        </w:rPr>
        <w:t xml:space="preserve">1,7971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B7177A">
        <w:rPr>
          <w:sz w:val="28"/>
          <w:szCs w:val="28"/>
          <w:lang w:val="uk-UA"/>
        </w:rPr>
        <w:t>Тозлован</w:t>
      </w:r>
      <w:proofErr w:type="spellEnd"/>
      <w:r w:rsidR="00B7177A">
        <w:rPr>
          <w:sz w:val="28"/>
          <w:szCs w:val="28"/>
          <w:lang w:val="uk-UA"/>
        </w:rPr>
        <w:t xml:space="preserve"> Наталії Миколаївни</w:t>
      </w:r>
      <w:r w:rsidR="00CC2DC8" w:rsidRPr="00B83A69">
        <w:rPr>
          <w:color w:val="000000" w:themeColor="text1"/>
          <w:sz w:val="28"/>
          <w:szCs w:val="28"/>
          <w:lang w:val="uk-UA"/>
        </w:rPr>
        <w:t xml:space="preserve"> </w:t>
      </w:r>
      <w:r w:rsidR="00480E2E">
        <w:rPr>
          <w:color w:val="000000" w:themeColor="text1"/>
          <w:sz w:val="28"/>
          <w:szCs w:val="28"/>
          <w:lang w:val="uk-UA"/>
        </w:rPr>
        <w:t>(</w:t>
      </w:r>
      <w:r w:rsidR="00CC2DC8">
        <w:rPr>
          <w:color w:val="000000" w:themeColor="text1"/>
          <w:sz w:val="28"/>
          <w:szCs w:val="28"/>
          <w:lang w:val="uk-UA"/>
        </w:rPr>
        <w:t>3163023728</w:t>
      </w:r>
      <w:r w:rsidR="00480E2E">
        <w:rPr>
          <w:color w:val="000000" w:themeColor="text1"/>
          <w:sz w:val="28"/>
          <w:szCs w:val="28"/>
          <w:lang w:val="uk-UA"/>
        </w:rPr>
        <w:t>)</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CC2DC8">
        <w:rPr>
          <w:color w:val="000000" w:themeColor="text1"/>
          <w:sz w:val="28"/>
          <w:szCs w:val="28"/>
          <w:lang w:val="uk-UA"/>
        </w:rPr>
        <w:t xml:space="preserve">                     </w:t>
      </w:r>
      <w:r w:rsidR="003F260C">
        <w:rPr>
          <w:color w:val="000000" w:themeColor="text1"/>
          <w:sz w:val="28"/>
          <w:szCs w:val="28"/>
          <w:lang w:val="uk-UA"/>
        </w:rPr>
        <w:t xml:space="preserve">№ </w:t>
      </w:r>
      <w:r w:rsidR="005B454E">
        <w:rPr>
          <w:color w:val="000000" w:themeColor="text1"/>
          <w:sz w:val="28"/>
          <w:szCs w:val="28"/>
          <w:lang w:val="uk-UA"/>
        </w:rPr>
        <w:t>151</w:t>
      </w:r>
      <w:r w:rsidR="00CC2DC8">
        <w:rPr>
          <w:color w:val="000000" w:themeColor="text1"/>
          <w:sz w:val="28"/>
          <w:szCs w:val="28"/>
          <w:lang w:val="uk-UA"/>
        </w:rPr>
        <w:t>938418</w:t>
      </w:r>
      <w:r w:rsidR="00480E2E">
        <w:rPr>
          <w:color w:val="000000" w:themeColor="text1"/>
          <w:sz w:val="28"/>
          <w:szCs w:val="28"/>
          <w:lang w:val="uk-UA"/>
        </w:rPr>
        <w:t xml:space="preserve"> ві</w:t>
      </w:r>
      <w:r w:rsidR="00791DC3">
        <w:rPr>
          <w:color w:val="000000" w:themeColor="text1"/>
          <w:sz w:val="28"/>
          <w:szCs w:val="28"/>
          <w:lang w:val="uk-UA"/>
        </w:rPr>
        <w:t>д 04.01.2019</w:t>
      </w:r>
      <w:r w:rsidR="003474B1">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CC2DC8">
        <w:rPr>
          <w:color w:val="000000" w:themeColor="text1"/>
          <w:sz w:val="28"/>
          <w:szCs w:val="28"/>
          <w:lang w:val="uk-UA"/>
        </w:rPr>
        <w:t>39369155910</w:t>
      </w:r>
      <w:r w:rsidR="00D24DED">
        <w:rPr>
          <w:color w:val="000000" w:themeColor="text1"/>
          <w:sz w:val="28"/>
          <w:szCs w:val="28"/>
          <w:lang w:val="uk-UA"/>
        </w:rPr>
        <w:t xml:space="preserve">1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65502E" w:rsidRPr="0017482D" w:rsidRDefault="0065502E" w:rsidP="0017482D">
      <w:pPr>
        <w:pStyle w:val="a7"/>
        <w:numPr>
          <w:ilvl w:val="0"/>
          <w:numId w:val="2"/>
        </w:numPr>
        <w:jc w:val="both"/>
        <w:rPr>
          <w:sz w:val="28"/>
          <w:lang w:val="uk-UA"/>
        </w:rPr>
      </w:pPr>
      <w:r w:rsidRPr="0017482D">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17482D">
        <w:rPr>
          <w:sz w:val="28"/>
          <w:lang w:val="uk-UA"/>
        </w:rPr>
        <w:t>межами міста Суми, затвердженим</w:t>
      </w:r>
      <w:r w:rsidRPr="0017482D">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187043" w:rsidRPr="00187043">
        <w:rPr>
          <w:color w:val="000000" w:themeColor="text1"/>
          <w:sz w:val="28"/>
          <w:szCs w:val="28"/>
          <w:shd w:val="clear" w:color="auto" w:fill="FFFFFF"/>
          <w:lang w:val="uk-UA"/>
        </w:rPr>
        <w:t>5910136300:13:003:0122</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w:t>
      </w:r>
      <w:r w:rsidR="00187043">
        <w:rPr>
          <w:color w:val="000000" w:themeColor="text1"/>
          <w:sz w:val="28"/>
          <w:szCs w:val="28"/>
          <w:lang w:val="uk-UA"/>
        </w:rPr>
        <w:t>1,7971</w:t>
      </w:r>
      <w:r w:rsidR="00E923A5">
        <w:rPr>
          <w:color w:val="000000" w:themeColor="text1"/>
          <w:sz w:val="28"/>
          <w:szCs w:val="28"/>
          <w:lang w:val="uk-UA"/>
        </w:rPr>
        <w:t xml:space="preserve">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65502E"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65502E"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3474B1" w:rsidRDefault="003474B1" w:rsidP="00BA5C37">
      <w:pPr>
        <w:pStyle w:val="rvps14"/>
        <w:spacing w:before="0" w:beforeAutospacing="0" w:after="0" w:afterAutospacing="0"/>
        <w:jc w:val="both"/>
        <w:rPr>
          <w:color w:val="000000" w:themeColor="text1"/>
          <w:sz w:val="28"/>
          <w:szCs w:val="28"/>
          <w:lang w:val="uk-UA"/>
        </w:rPr>
      </w:pPr>
    </w:p>
    <w:p w:rsidR="0058654E" w:rsidRDefault="0058654E" w:rsidP="00BA5C37">
      <w:pPr>
        <w:pStyle w:val="rvps14"/>
        <w:spacing w:before="0" w:beforeAutospacing="0" w:after="0" w:afterAutospacing="0"/>
        <w:jc w:val="both"/>
        <w:rPr>
          <w:color w:val="000000" w:themeColor="text1"/>
          <w:sz w:val="28"/>
          <w:szCs w:val="28"/>
          <w:lang w:val="uk-UA"/>
        </w:rPr>
      </w:pPr>
    </w:p>
    <w:p w:rsidR="0058654E" w:rsidRPr="00B83A69" w:rsidRDefault="0058654E"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DF846C70"/>
    <w:lvl w:ilvl="0" w:tplc="72F8FD8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5B1AEA"/>
    <w:rsid w:val="00026BBE"/>
    <w:rsid w:val="00030A0D"/>
    <w:rsid w:val="00056BC9"/>
    <w:rsid w:val="00061D0D"/>
    <w:rsid w:val="00071576"/>
    <w:rsid w:val="00097B25"/>
    <w:rsid w:val="000A6C33"/>
    <w:rsid w:val="000A6E76"/>
    <w:rsid w:val="000B7EEE"/>
    <w:rsid w:val="000C6085"/>
    <w:rsid w:val="000C7F21"/>
    <w:rsid w:val="00145CFF"/>
    <w:rsid w:val="001662BD"/>
    <w:rsid w:val="0017482D"/>
    <w:rsid w:val="00175B37"/>
    <w:rsid w:val="00177585"/>
    <w:rsid w:val="00187043"/>
    <w:rsid w:val="001939C4"/>
    <w:rsid w:val="001A7DC0"/>
    <w:rsid w:val="002152EF"/>
    <w:rsid w:val="002258AA"/>
    <w:rsid w:val="002362BD"/>
    <w:rsid w:val="002479E3"/>
    <w:rsid w:val="002746FA"/>
    <w:rsid w:val="00286C7D"/>
    <w:rsid w:val="003133F5"/>
    <w:rsid w:val="00314F28"/>
    <w:rsid w:val="00330571"/>
    <w:rsid w:val="003474B1"/>
    <w:rsid w:val="003579CA"/>
    <w:rsid w:val="003A11D3"/>
    <w:rsid w:val="003D5BD1"/>
    <w:rsid w:val="003E3A65"/>
    <w:rsid w:val="003F260C"/>
    <w:rsid w:val="004032C7"/>
    <w:rsid w:val="004464B2"/>
    <w:rsid w:val="0046218C"/>
    <w:rsid w:val="00480E2E"/>
    <w:rsid w:val="004B72F8"/>
    <w:rsid w:val="004D0492"/>
    <w:rsid w:val="004E6687"/>
    <w:rsid w:val="00500673"/>
    <w:rsid w:val="005013BB"/>
    <w:rsid w:val="0055778E"/>
    <w:rsid w:val="00585329"/>
    <w:rsid w:val="0058654E"/>
    <w:rsid w:val="00587D75"/>
    <w:rsid w:val="005A2888"/>
    <w:rsid w:val="005A405F"/>
    <w:rsid w:val="005B1AEA"/>
    <w:rsid w:val="005B29B2"/>
    <w:rsid w:val="005B454E"/>
    <w:rsid w:val="005E340C"/>
    <w:rsid w:val="00606852"/>
    <w:rsid w:val="00623D20"/>
    <w:rsid w:val="00630FA1"/>
    <w:rsid w:val="0064548C"/>
    <w:rsid w:val="0065502E"/>
    <w:rsid w:val="00665618"/>
    <w:rsid w:val="00667607"/>
    <w:rsid w:val="0067342B"/>
    <w:rsid w:val="006D126F"/>
    <w:rsid w:val="006D798F"/>
    <w:rsid w:val="00705FE5"/>
    <w:rsid w:val="00720835"/>
    <w:rsid w:val="00762EBF"/>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B2B04"/>
    <w:rsid w:val="008B6466"/>
    <w:rsid w:val="008C0390"/>
    <w:rsid w:val="009348E1"/>
    <w:rsid w:val="00941B90"/>
    <w:rsid w:val="00982785"/>
    <w:rsid w:val="00987501"/>
    <w:rsid w:val="00A155BC"/>
    <w:rsid w:val="00A3070D"/>
    <w:rsid w:val="00A53A48"/>
    <w:rsid w:val="00AB69B9"/>
    <w:rsid w:val="00AE7F90"/>
    <w:rsid w:val="00AF031C"/>
    <w:rsid w:val="00AF7020"/>
    <w:rsid w:val="00B06C04"/>
    <w:rsid w:val="00B1609D"/>
    <w:rsid w:val="00B22F27"/>
    <w:rsid w:val="00B23654"/>
    <w:rsid w:val="00B43AD1"/>
    <w:rsid w:val="00B7177A"/>
    <w:rsid w:val="00B72FA9"/>
    <w:rsid w:val="00B73B8A"/>
    <w:rsid w:val="00B83A69"/>
    <w:rsid w:val="00BA1554"/>
    <w:rsid w:val="00BA5C37"/>
    <w:rsid w:val="00BB6040"/>
    <w:rsid w:val="00BD5EE4"/>
    <w:rsid w:val="00C039E3"/>
    <w:rsid w:val="00C2449D"/>
    <w:rsid w:val="00C331A9"/>
    <w:rsid w:val="00C7498A"/>
    <w:rsid w:val="00C7657E"/>
    <w:rsid w:val="00C81D74"/>
    <w:rsid w:val="00C932A2"/>
    <w:rsid w:val="00CA3B88"/>
    <w:rsid w:val="00CB640D"/>
    <w:rsid w:val="00CC2DC8"/>
    <w:rsid w:val="00CD7773"/>
    <w:rsid w:val="00CE030C"/>
    <w:rsid w:val="00CE68BD"/>
    <w:rsid w:val="00CF2D68"/>
    <w:rsid w:val="00D12671"/>
    <w:rsid w:val="00D178D9"/>
    <w:rsid w:val="00D24DED"/>
    <w:rsid w:val="00D433CA"/>
    <w:rsid w:val="00DA1797"/>
    <w:rsid w:val="00DB633A"/>
    <w:rsid w:val="00DC7B4E"/>
    <w:rsid w:val="00E2530F"/>
    <w:rsid w:val="00E40EAE"/>
    <w:rsid w:val="00E437BA"/>
    <w:rsid w:val="00E82054"/>
    <w:rsid w:val="00E923A5"/>
    <w:rsid w:val="00EA25B4"/>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D7DA"/>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129</cp:revision>
  <cp:lastPrinted>2021-10-22T06:10:00Z</cp:lastPrinted>
  <dcterms:created xsi:type="dcterms:W3CDTF">2019-10-21T10:27:00Z</dcterms:created>
  <dcterms:modified xsi:type="dcterms:W3CDTF">2021-11-09T12:14:00Z</dcterms:modified>
</cp:coreProperties>
</file>