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608B8" w:rsidRPr="007B13E3" w:rsidRDefault="009608B8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608B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608B8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9608B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AC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Білокоз</w:t>
            </w:r>
            <w:proofErr w:type="spellEnd"/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Олексіївні</w:t>
            </w:r>
            <w:r w:rsidR="00BA2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ишнього садівничого товариства «Монтажник-Тополя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AC7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0,8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D1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«в» частини першої статті 121 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96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96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Білокоз</w:t>
      </w:r>
      <w:proofErr w:type="spellEnd"/>
      <w:r w:rsidR="00AC7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Олексіївні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5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</w:t>
      </w:r>
      <w:r w:rsidR="008D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ишнього садівничого товариства </w:t>
      </w:r>
      <w:r w:rsidR="00391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1" w:name="_GoBack"/>
      <w:bookmarkEnd w:id="1"/>
      <w:r w:rsidR="008D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«Монтажник-Тополя</w:t>
      </w:r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8D16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71, </w:t>
      </w:r>
      <w:r w:rsidR="008D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0,8 </w:t>
      </w:r>
      <w:r w:rsidR="008D1691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Pr="009608B8" w:rsidRDefault="003320F9" w:rsidP="009608B8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9608B8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генеральним планом населеного пункту, у зв’язку з відсутністю таких планів</w:t>
      </w:r>
      <w:r w:rsidR="008D1691" w:rsidRPr="009608B8">
        <w:rPr>
          <w:color w:val="000000" w:themeColor="text1"/>
          <w:sz w:val="28"/>
          <w:szCs w:val="28"/>
          <w:lang w:val="uk-UA"/>
        </w:rPr>
        <w:t>;</w:t>
      </w:r>
    </w:p>
    <w:p w:rsidR="008D1691" w:rsidRPr="009608B8" w:rsidRDefault="00E26AA2" w:rsidP="009608B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608B8">
        <w:rPr>
          <w:color w:val="000000" w:themeColor="text1"/>
          <w:sz w:val="28"/>
          <w:szCs w:val="28"/>
          <w:lang w:val="uk-UA"/>
        </w:rPr>
        <w:t>пункту «в» частини першої статті 121 Земельного кодексу України</w:t>
      </w:r>
      <w:r w:rsidR="008D1691" w:rsidRPr="009608B8">
        <w:rPr>
          <w:color w:val="000000" w:themeColor="text1"/>
          <w:sz w:val="28"/>
          <w:szCs w:val="28"/>
          <w:lang w:val="uk-UA"/>
        </w:rPr>
        <w:t xml:space="preserve">, згідно з якою </w:t>
      </w:r>
      <w:r w:rsidR="008D1691"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>громадяни України мають право на безоплатну передачу їм земельних ділянок із земель державної або комунальної власності для індивідуального садівництва в розмірі не більше 0,12 га, у зв’язку з тим, що у клопотанні заявниці зазначена орієнтовна площа земельної ділянки 0,8 га.</w:t>
      </w:r>
    </w:p>
    <w:p w:rsidR="004947D8" w:rsidRPr="008D1691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62603" w:rsidRPr="008D1691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B51890"/>
    <w:multiLevelType w:val="hybridMultilevel"/>
    <w:tmpl w:val="0FE2976C"/>
    <w:lvl w:ilvl="0" w:tplc="11D8D9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915FB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119B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13E3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08B8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46A4"/>
    <w:rsid w:val="00A86262"/>
    <w:rsid w:val="00A92485"/>
    <w:rsid w:val="00A96C8D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26AA2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FF7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205A-97A4-47B7-8C23-F14F167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219</cp:revision>
  <cp:lastPrinted>2021-11-03T09:29:00Z</cp:lastPrinted>
  <dcterms:created xsi:type="dcterms:W3CDTF">2018-11-13T13:35:00Z</dcterms:created>
  <dcterms:modified xsi:type="dcterms:W3CDTF">2021-11-12T08:54:00Z</dcterms:modified>
</cp:coreProperties>
</file>