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EB0F46">
            <w:pPr>
              <w:jc w:val="both"/>
              <w:rPr>
                <w:bCs/>
                <w:lang w:val="uk-UA"/>
              </w:rPr>
            </w:pPr>
            <w:r>
              <w:rPr>
                <w:bCs/>
                <w:sz w:val="28"/>
                <w:szCs w:val="28"/>
                <w:lang w:val="uk-UA"/>
              </w:rPr>
              <w:t xml:space="preserve">від </w:t>
            </w:r>
            <w:r w:rsidR="00EB0F46">
              <w:rPr>
                <w:bCs/>
                <w:sz w:val="28"/>
                <w:szCs w:val="28"/>
                <w:lang w:val="uk-UA"/>
              </w:rPr>
              <w:t xml:space="preserve">                    </w:t>
            </w:r>
            <w:r w:rsidR="009176FE">
              <w:rPr>
                <w:bCs/>
                <w:sz w:val="28"/>
                <w:szCs w:val="28"/>
                <w:lang w:val="uk-UA"/>
              </w:rPr>
              <w:t xml:space="preserve">№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5A7E92"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5A7E92"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5A7E92"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5A7E92"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5A7E92"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833B76" w:rsidRDefault="00DA0465" w:rsidP="00DA0465">
            <w:pPr>
              <w:ind w:left="33"/>
              <w:contextualSpacing/>
              <w:rPr>
                <w:bCs/>
                <w:sz w:val="28"/>
                <w:szCs w:val="28"/>
                <w:lang w:val="uk-UA"/>
              </w:rPr>
            </w:pPr>
          </w:p>
          <w:p w:rsidR="00DA0465" w:rsidRPr="00833B76" w:rsidRDefault="00DA0465" w:rsidP="00DA0465">
            <w:pPr>
              <w:ind w:left="33"/>
              <w:contextualSpacing/>
              <w:rPr>
                <w:bCs/>
                <w:sz w:val="28"/>
                <w:szCs w:val="28"/>
                <w:lang w:val="uk-UA"/>
              </w:rPr>
            </w:pPr>
          </w:p>
          <w:p w:rsidR="00DA0465" w:rsidRPr="00833B76" w:rsidRDefault="00833B76" w:rsidP="005A7E92">
            <w:pPr>
              <w:rPr>
                <w:sz w:val="28"/>
                <w:szCs w:val="28"/>
                <w:lang w:val="uk-UA"/>
              </w:rPr>
            </w:pPr>
            <w:r w:rsidRPr="00833B76">
              <w:rPr>
                <w:bCs/>
                <w:sz w:val="28"/>
                <w:szCs w:val="28"/>
                <w:lang w:val="uk-UA"/>
              </w:rPr>
              <w:t>4</w:t>
            </w:r>
            <w:r w:rsidR="00171450">
              <w:rPr>
                <w:bCs/>
                <w:sz w:val="28"/>
                <w:szCs w:val="28"/>
                <w:lang w:val="uk-UA"/>
              </w:rPr>
              <w:t>7</w:t>
            </w:r>
            <w:r w:rsidR="005A7E92">
              <w:rPr>
                <w:bCs/>
                <w:sz w:val="28"/>
                <w:szCs w:val="28"/>
                <w:lang w:val="uk-UA"/>
              </w:rPr>
              <w:t>4 336,421</w:t>
            </w:r>
            <w:r w:rsidR="00DA0465" w:rsidRPr="00833B76">
              <w:rPr>
                <w:bCs/>
                <w:sz w:val="28"/>
                <w:szCs w:val="28"/>
                <w:lang w:val="uk-UA"/>
              </w:rPr>
              <w:t xml:space="preserve"> 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EB0F46" w:rsidRDefault="00803309" w:rsidP="00803309">
            <w:pPr>
              <w:ind w:left="33"/>
              <w:contextualSpacing/>
              <w:rPr>
                <w:sz w:val="28"/>
                <w:szCs w:val="28"/>
                <w:highlight w:val="yellow"/>
                <w:lang w:val="uk-UA"/>
              </w:rPr>
            </w:pPr>
          </w:p>
          <w:p w:rsidR="00803309" w:rsidRPr="00833B76" w:rsidRDefault="00803309" w:rsidP="00803309">
            <w:pPr>
              <w:ind w:left="33"/>
              <w:contextualSpacing/>
              <w:rPr>
                <w:sz w:val="28"/>
                <w:szCs w:val="28"/>
                <w:lang w:val="uk-UA"/>
              </w:rPr>
            </w:pPr>
            <w:r w:rsidRPr="00833B76">
              <w:rPr>
                <w:sz w:val="28"/>
                <w:szCs w:val="28"/>
                <w:lang w:val="uk-UA"/>
              </w:rPr>
              <w:t>27 757,846 тис. грн.:</w:t>
            </w:r>
          </w:p>
          <w:p w:rsidR="00803309" w:rsidRPr="00833B76" w:rsidRDefault="00803309" w:rsidP="00803309">
            <w:pPr>
              <w:ind w:left="33"/>
              <w:contextualSpacing/>
              <w:rPr>
                <w:sz w:val="28"/>
                <w:szCs w:val="28"/>
                <w:lang w:val="uk-UA"/>
              </w:rPr>
            </w:pPr>
            <w:r w:rsidRPr="00833B76">
              <w:rPr>
                <w:sz w:val="28"/>
                <w:szCs w:val="28"/>
                <w:lang w:val="uk-UA"/>
              </w:rPr>
              <w:t>2 567,830 тис. грн. - загальний фонд;</w:t>
            </w:r>
          </w:p>
          <w:p w:rsidR="00803309" w:rsidRPr="00EB0F46" w:rsidRDefault="00803309" w:rsidP="00803309">
            <w:pPr>
              <w:rPr>
                <w:sz w:val="28"/>
                <w:szCs w:val="28"/>
                <w:highlight w:val="yellow"/>
                <w:lang w:val="uk-UA"/>
              </w:rPr>
            </w:pPr>
            <w:r w:rsidRPr="00833B76">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833B76" w:rsidRDefault="007C7B55" w:rsidP="00803309">
            <w:pPr>
              <w:ind w:left="33"/>
              <w:contextualSpacing/>
              <w:rPr>
                <w:sz w:val="28"/>
                <w:szCs w:val="28"/>
                <w:lang w:val="uk-UA"/>
              </w:rPr>
            </w:pPr>
            <w:r>
              <w:rPr>
                <w:sz w:val="28"/>
                <w:szCs w:val="28"/>
                <w:lang w:val="uk-UA"/>
              </w:rPr>
              <w:t>12</w:t>
            </w:r>
            <w:r w:rsidR="005A7E92">
              <w:rPr>
                <w:sz w:val="28"/>
                <w:szCs w:val="28"/>
                <w:lang w:val="uk-UA"/>
              </w:rPr>
              <w:t>9 747,205</w:t>
            </w:r>
            <w:r w:rsidR="00803309" w:rsidRPr="00833B76">
              <w:rPr>
                <w:sz w:val="28"/>
                <w:szCs w:val="28"/>
                <w:lang w:val="uk-UA"/>
              </w:rPr>
              <w:t xml:space="preserve"> тис. грн.:</w:t>
            </w:r>
          </w:p>
          <w:p w:rsidR="00803309" w:rsidRPr="00833B76" w:rsidRDefault="007C7B55" w:rsidP="00803309">
            <w:pPr>
              <w:ind w:left="33"/>
              <w:contextualSpacing/>
              <w:rPr>
                <w:sz w:val="28"/>
                <w:szCs w:val="28"/>
                <w:lang w:val="uk-UA"/>
              </w:rPr>
            </w:pPr>
            <w:r>
              <w:rPr>
                <w:sz w:val="28"/>
                <w:szCs w:val="28"/>
                <w:lang w:val="uk-UA"/>
              </w:rPr>
              <w:t>3 818,770</w:t>
            </w:r>
            <w:r w:rsidR="00803309" w:rsidRPr="00833B76">
              <w:rPr>
                <w:sz w:val="28"/>
                <w:szCs w:val="28"/>
                <w:lang w:val="uk-UA"/>
              </w:rPr>
              <w:t xml:space="preserve"> тис. грн. - загальний фонд;</w:t>
            </w:r>
          </w:p>
          <w:p w:rsidR="00803309" w:rsidRPr="00EB0F46" w:rsidRDefault="00833B76" w:rsidP="005A7E92">
            <w:pPr>
              <w:ind w:left="33"/>
              <w:contextualSpacing/>
              <w:rPr>
                <w:sz w:val="28"/>
                <w:szCs w:val="28"/>
                <w:highlight w:val="yellow"/>
                <w:lang w:val="uk-UA"/>
              </w:rPr>
            </w:pPr>
            <w:r w:rsidRPr="00833B76">
              <w:rPr>
                <w:sz w:val="28"/>
                <w:szCs w:val="28"/>
                <w:lang w:val="uk-UA"/>
              </w:rPr>
              <w:t>1</w:t>
            </w:r>
            <w:r w:rsidR="007C7B55">
              <w:rPr>
                <w:sz w:val="28"/>
                <w:szCs w:val="28"/>
                <w:lang w:val="uk-UA"/>
              </w:rPr>
              <w:t>2</w:t>
            </w:r>
            <w:r w:rsidR="005A7E92">
              <w:rPr>
                <w:sz w:val="28"/>
                <w:szCs w:val="28"/>
                <w:lang w:val="uk-UA"/>
              </w:rPr>
              <w:t>5 928,435</w:t>
            </w:r>
            <w:r w:rsidR="00803309" w:rsidRPr="00833B76">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EB0F46" w:rsidRDefault="007C7B55" w:rsidP="007C7B55">
            <w:pPr>
              <w:ind w:left="33"/>
              <w:contextualSpacing/>
              <w:rPr>
                <w:sz w:val="28"/>
                <w:szCs w:val="28"/>
                <w:highlight w:val="yellow"/>
                <w:lang w:val="uk-UA"/>
              </w:rPr>
            </w:pPr>
            <w:r>
              <w:rPr>
                <w:sz w:val="28"/>
                <w:szCs w:val="28"/>
                <w:lang w:val="uk-UA"/>
              </w:rPr>
              <w:t>316 831,370</w:t>
            </w:r>
            <w:r w:rsidR="00DA0465" w:rsidRPr="00833B76">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DF12E9" w:rsidP="005A7E92">
            <w:pPr>
              <w:contextualSpacing/>
              <w:jc w:val="center"/>
              <w:rPr>
                <w:sz w:val="27"/>
                <w:szCs w:val="27"/>
                <w:lang w:val="uk-UA"/>
              </w:rPr>
            </w:pPr>
            <w:r>
              <w:rPr>
                <w:sz w:val="27"/>
                <w:szCs w:val="27"/>
                <w:lang w:val="uk-UA"/>
              </w:rPr>
              <w:t>1</w:t>
            </w:r>
            <w:r w:rsidR="007C7B55">
              <w:rPr>
                <w:sz w:val="27"/>
                <w:szCs w:val="27"/>
                <w:lang w:val="uk-UA"/>
              </w:rPr>
              <w:t>8</w:t>
            </w:r>
            <w:r w:rsidR="005A7E92">
              <w:rPr>
                <w:sz w:val="27"/>
                <w:szCs w:val="27"/>
                <w:lang w:val="uk-UA"/>
              </w:rPr>
              <w:t>7 272,801</w:t>
            </w:r>
          </w:p>
        </w:tc>
        <w:tc>
          <w:tcPr>
            <w:tcW w:w="1739" w:type="dxa"/>
            <w:shd w:val="clear" w:color="auto" w:fill="auto"/>
          </w:tcPr>
          <w:p w:rsidR="00803309" w:rsidRPr="000357F1" w:rsidRDefault="00803309" w:rsidP="005F03B8">
            <w:pPr>
              <w:contextualSpacing/>
              <w:jc w:val="center"/>
              <w:rPr>
                <w:sz w:val="27"/>
                <w:szCs w:val="27"/>
                <w:lang w:val="uk-UA"/>
              </w:rPr>
            </w:pPr>
            <w:r w:rsidRPr="000357F1">
              <w:rPr>
                <w:sz w:val="27"/>
                <w:szCs w:val="27"/>
                <w:lang w:val="uk-UA"/>
              </w:rPr>
              <w:t>1</w:t>
            </w:r>
            <w:r w:rsidR="005F03B8">
              <w:rPr>
                <w:sz w:val="27"/>
                <w:szCs w:val="27"/>
                <w:lang w:val="uk-UA"/>
              </w:rPr>
              <w:t>77</w:t>
            </w:r>
            <w:r w:rsidRPr="000357F1">
              <w:rPr>
                <w:sz w:val="27"/>
                <w:szCs w:val="27"/>
                <w:lang w:val="uk-UA"/>
              </w:rPr>
              <w:t> 391,957</w:t>
            </w:r>
          </w:p>
        </w:tc>
        <w:tc>
          <w:tcPr>
            <w:tcW w:w="1740" w:type="dxa"/>
            <w:shd w:val="clear" w:color="auto" w:fill="auto"/>
          </w:tcPr>
          <w:p w:rsidR="00803309" w:rsidRPr="000357F1" w:rsidRDefault="005F03B8" w:rsidP="005A7E92">
            <w:pPr>
              <w:jc w:val="center"/>
              <w:rPr>
                <w:sz w:val="27"/>
                <w:szCs w:val="27"/>
                <w:lang w:val="uk-UA"/>
              </w:rPr>
            </w:pPr>
            <w:r>
              <w:rPr>
                <w:sz w:val="27"/>
                <w:szCs w:val="27"/>
                <w:lang w:val="uk-UA"/>
              </w:rPr>
              <w:t>47</w:t>
            </w:r>
            <w:r w:rsidR="005A7E92">
              <w:rPr>
                <w:sz w:val="27"/>
                <w:szCs w:val="27"/>
                <w:lang w:val="uk-UA"/>
              </w:rPr>
              <w:t>4 336,421</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A7E92">
            <w:pPr>
              <w:contextualSpacing/>
              <w:jc w:val="center"/>
              <w:rPr>
                <w:sz w:val="27"/>
                <w:szCs w:val="27"/>
                <w:lang w:val="uk-UA"/>
              </w:rPr>
            </w:pPr>
            <w:r>
              <w:rPr>
                <w:sz w:val="27"/>
                <w:szCs w:val="27"/>
                <w:lang w:val="uk-UA"/>
              </w:rPr>
              <w:t>4</w:t>
            </w:r>
            <w:r w:rsidR="005A7E92">
              <w:rPr>
                <w:sz w:val="27"/>
                <w:szCs w:val="27"/>
                <w:lang w:val="uk-UA"/>
              </w:rPr>
              <w:t>4 981,768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5F03B8">
            <w:pPr>
              <w:contextualSpacing/>
              <w:rPr>
                <w:sz w:val="27"/>
                <w:szCs w:val="27"/>
                <w:lang w:val="uk-UA"/>
              </w:rPr>
            </w:pPr>
            <w:r w:rsidRPr="000357F1">
              <w:rPr>
                <w:sz w:val="27"/>
                <w:szCs w:val="27"/>
                <w:lang w:val="uk-UA"/>
              </w:rPr>
              <w:t>8</w:t>
            </w:r>
            <w:r w:rsidR="005F03B8">
              <w:rPr>
                <w:sz w:val="27"/>
                <w:szCs w:val="27"/>
                <w:lang w:val="uk-UA"/>
              </w:rPr>
              <w:t>4</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A7E92">
            <w:pPr>
              <w:contextualSpacing/>
              <w:jc w:val="center"/>
              <w:rPr>
                <w:sz w:val="27"/>
                <w:szCs w:val="27"/>
                <w:lang w:val="uk-UA"/>
              </w:rPr>
            </w:pPr>
            <w:r>
              <w:rPr>
                <w:sz w:val="27"/>
                <w:szCs w:val="27"/>
                <w:lang w:val="uk-UA"/>
              </w:rPr>
              <w:t>12</w:t>
            </w:r>
            <w:r w:rsidR="005A7E92">
              <w:rPr>
                <w:sz w:val="27"/>
                <w:szCs w:val="27"/>
                <w:lang w:val="uk-UA"/>
              </w:rPr>
              <w:t>9 747,205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5F03B8">
            <w:pPr>
              <w:contextualSpacing/>
              <w:jc w:val="center"/>
              <w:rPr>
                <w:sz w:val="27"/>
                <w:szCs w:val="27"/>
                <w:lang w:val="uk-UA"/>
              </w:rPr>
            </w:pPr>
            <w:r w:rsidRPr="000357F1">
              <w:rPr>
                <w:sz w:val="27"/>
                <w:szCs w:val="27"/>
                <w:lang w:val="uk-UA"/>
              </w:rPr>
              <w:t>1</w:t>
            </w:r>
            <w:r w:rsidR="005F03B8">
              <w:rPr>
                <w:sz w:val="27"/>
                <w:szCs w:val="27"/>
                <w:lang w:val="uk-UA"/>
              </w:rPr>
              <w:t>4</w:t>
            </w:r>
            <w:r w:rsidRPr="000357F1">
              <w:rPr>
                <w:sz w:val="27"/>
                <w:szCs w:val="27"/>
                <w:lang w:val="uk-UA"/>
              </w:rPr>
              <w:t>2</w:t>
            </w:r>
            <w:r w:rsidR="005F03B8">
              <w:rPr>
                <w:sz w:val="27"/>
                <w:szCs w:val="27"/>
                <w:lang w:val="uk-UA"/>
              </w:rPr>
              <w:t> 291,033</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5F03B8" w:rsidP="005F03B8">
            <w:pPr>
              <w:contextualSpacing/>
              <w:jc w:val="center"/>
              <w:rPr>
                <w:sz w:val="27"/>
                <w:szCs w:val="27"/>
                <w:lang w:val="uk-UA"/>
              </w:rPr>
            </w:pPr>
            <w:r>
              <w:rPr>
                <w:sz w:val="27"/>
                <w:szCs w:val="27"/>
                <w:lang w:val="uk-UA"/>
              </w:rPr>
              <w:t>316 831,370</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bookmarkStart w:id="0" w:name="_GoBack"/>
      <w:bookmarkEnd w:id="0"/>
      <w:r>
        <w:rPr>
          <w:sz w:val="28"/>
          <w:szCs w:val="28"/>
          <w:lang w:val="uk-UA"/>
        </w:rPr>
        <w:t xml:space="preserve">  </w:t>
      </w:r>
      <w:r w:rsidR="005A7E92" w:rsidRPr="005A7E92">
        <w:rPr>
          <w:sz w:val="28"/>
          <w:szCs w:val="28"/>
          <w:lang w:val="uk-UA"/>
        </w:rPr>
        <w:t>Олександр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1A4BF9" w:rsidP="00803309">
      <w:pPr>
        <w:tabs>
          <w:tab w:val="left" w:pos="708"/>
          <w:tab w:val="left" w:pos="1455"/>
        </w:tabs>
        <w:ind w:right="-2"/>
        <w:rPr>
          <w:lang w:val="uk-UA"/>
        </w:rPr>
      </w:pPr>
      <w:r>
        <w:rPr>
          <w:lang w:val="uk-UA"/>
        </w:rPr>
        <w:tab/>
      </w:r>
      <w:r>
        <w:rPr>
          <w:lang w:val="uk-UA"/>
        </w:rPr>
        <w:tab/>
      </w:r>
      <w:r w:rsidR="005A7E92">
        <w:rPr>
          <w:lang w:val="uk-UA"/>
        </w:rPr>
        <w:t>30</w:t>
      </w:r>
      <w:r w:rsidR="00833B76">
        <w:rPr>
          <w:lang w:val="uk-UA"/>
        </w:rPr>
        <w:t>.</w:t>
      </w:r>
      <w:r w:rsidR="005F03B8">
        <w:rPr>
          <w:lang w:val="uk-UA"/>
        </w:rPr>
        <w:t>11</w:t>
      </w:r>
      <w:r w:rsidR="00833B76">
        <w:rPr>
          <w:lang w:val="uk-UA"/>
        </w:rPr>
        <w:t>.2021</w:t>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1450"/>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A7E92"/>
    <w:rsid w:val="005B29BC"/>
    <w:rsid w:val="005C07D2"/>
    <w:rsid w:val="005C5916"/>
    <w:rsid w:val="005D0517"/>
    <w:rsid w:val="005D6F40"/>
    <w:rsid w:val="005E4BA3"/>
    <w:rsid w:val="005E7FC4"/>
    <w:rsid w:val="005F03B8"/>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C7B55"/>
    <w:rsid w:val="007D23A4"/>
    <w:rsid w:val="007E29D2"/>
    <w:rsid w:val="007E37ED"/>
    <w:rsid w:val="007F07DD"/>
    <w:rsid w:val="007F22F1"/>
    <w:rsid w:val="007F4ACE"/>
    <w:rsid w:val="00803309"/>
    <w:rsid w:val="00807599"/>
    <w:rsid w:val="00820D0C"/>
    <w:rsid w:val="00833B76"/>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433C"/>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0F46"/>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210F8F9"/>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E264-250D-46CE-ABA3-F536CBCC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467</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25</cp:revision>
  <cp:lastPrinted>2021-11-10T14:20:00Z</cp:lastPrinted>
  <dcterms:created xsi:type="dcterms:W3CDTF">2021-03-18T14:07:00Z</dcterms:created>
  <dcterms:modified xsi:type="dcterms:W3CDTF">2021-11-30T08:54:00Z</dcterms:modified>
</cp:coreProperties>
</file>