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AE2D6B" w:rsidRPr="0086529A" w:rsidTr="00491DC7">
        <w:trPr>
          <w:trHeight w:val="284"/>
        </w:trPr>
        <w:tc>
          <w:tcPr>
            <w:tcW w:w="5097" w:type="dxa"/>
          </w:tcPr>
          <w:p w:rsidR="00AE2D6B" w:rsidRPr="0086529A" w:rsidRDefault="00AE2D6B" w:rsidP="00AE2D6B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AE2D6B" w:rsidRPr="0086529A" w:rsidTr="00491DC7">
        <w:trPr>
          <w:trHeight w:val="285"/>
        </w:trPr>
        <w:tc>
          <w:tcPr>
            <w:tcW w:w="5097" w:type="dxa"/>
          </w:tcPr>
          <w:p w:rsidR="00255570" w:rsidRDefault="00255570" w:rsidP="00255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  <w:p w:rsidR="00491DC7" w:rsidRPr="0086529A" w:rsidRDefault="00491DC7" w:rsidP="00491D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2D6B" w:rsidRPr="0086529A" w:rsidTr="00491DC7">
        <w:trPr>
          <w:trHeight w:val="171"/>
        </w:trPr>
        <w:tc>
          <w:tcPr>
            <w:tcW w:w="5097" w:type="dxa"/>
          </w:tcPr>
          <w:p w:rsidR="00AE2D6B" w:rsidRPr="0086529A" w:rsidRDefault="00AE2D6B" w:rsidP="00AE2D6B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від ________________ № ________</w:t>
            </w:r>
          </w:p>
        </w:tc>
      </w:tr>
    </w:tbl>
    <w:p w:rsidR="00EF0C91" w:rsidRDefault="00EF0C91" w:rsidP="00AE2D6B">
      <w:pPr>
        <w:jc w:val="right"/>
      </w:pPr>
    </w:p>
    <w:p w:rsidR="00AE2D6B" w:rsidRDefault="00AE2D6B" w:rsidP="00AE2D6B">
      <w:pPr>
        <w:jc w:val="right"/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255570">
      <w:pPr>
        <w:rPr>
          <w:b/>
          <w:sz w:val="28"/>
          <w:szCs w:val="28"/>
          <w:lang w:val="uk-UA"/>
        </w:rPr>
      </w:pPr>
    </w:p>
    <w:p w:rsidR="00255570" w:rsidRDefault="00255570" w:rsidP="0025557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uk-UA"/>
        </w:rPr>
        <w:t>V.</w:t>
      </w:r>
      <w:r w:rsidRPr="008D7C63">
        <w:rPr>
          <w:b/>
          <w:sz w:val="28"/>
          <w:szCs w:val="28"/>
          <w:lang w:val="uk-UA"/>
        </w:rPr>
        <w:t xml:space="preserve"> Напрями діяльності, завдання та заходи цільової Програми </w:t>
      </w:r>
    </w:p>
    <w:p w:rsidR="00AE2D6B" w:rsidRPr="008D7C63" w:rsidRDefault="00AE2D6B" w:rsidP="00AE2D6B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 xml:space="preserve">управління та ефективного використання майна комунальної власності та земельних ресурсів 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2"/>
          <w:szCs w:val="22"/>
          <w:lang w:val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976"/>
        <w:gridCol w:w="1416"/>
        <w:gridCol w:w="1559"/>
        <w:gridCol w:w="1841"/>
        <w:gridCol w:w="993"/>
        <w:gridCol w:w="992"/>
        <w:gridCol w:w="1133"/>
        <w:gridCol w:w="2446"/>
      </w:tblGrid>
      <w:tr w:rsidR="00AE2D6B" w:rsidRPr="008D7C63" w:rsidTr="00AE2D6B">
        <w:trPr>
          <w:trHeight w:val="6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D6B" w:rsidRPr="008D7C63" w:rsidRDefault="00AE2D6B" w:rsidP="00C32AF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22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>Розвиток земельних відносин на території Сумської міської територіальної громади</w:t>
            </w:r>
          </w:p>
        </w:tc>
      </w:tr>
      <w:tr w:rsidR="00AE2D6B" w:rsidRPr="008D7C63" w:rsidTr="00AE2D6B">
        <w:trPr>
          <w:cantSplit/>
          <w:trHeight w:val="1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lastRenderedPageBreak/>
              <w:t xml:space="preserve">1.Здійснення заходів із землеустрою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проєктів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2D6B"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941C76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941C76">
              <w:rPr>
                <w:sz w:val="22"/>
                <w:szCs w:val="22"/>
                <w:lang w:val="uk-UA"/>
              </w:rPr>
              <w:t xml:space="preserve">Наповнення бюджету громади за рахунок продажу земельних ділянок та прав них на земельних торгах (аукціонах), адміністративних стягнень з порушників земельного законодавства, а також із розміру нарахованої шкоди внаслідок вчинення порушення земельного законодавства та неотриманої вигоди від використання земельних ділянок з порушенням земельного законодавства, визначення чітких меж Сумської </w:t>
            </w:r>
            <w:r>
              <w:rPr>
                <w:sz w:val="22"/>
                <w:szCs w:val="22"/>
                <w:lang w:val="uk-UA"/>
              </w:rPr>
              <w:t xml:space="preserve">МТГ </w:t>
            </w:r>
            <w:r w:rsidRPr="00941C76">
              <w:rPr>
                <w:sz w:val="22"/>
                <w:szCs w:val="22"/>
                <w:lang w:val="uk-UA"/>
              </w:rPr>
              <w:t>та її населених пунктів, земельних ділянок комунальної власності різного цільового призначення. Надходження коштів до бюджету Сумської МТГ від плати за землю в розмірі 654,2 млн. грн.</w:t>
            </w:r>
          </w:p>
        </w:tc>
      </w:tr>
      <w:tr w:rsidR="00AE2D6B" w:rsidRPr="008D7C63" w:rsidTr="00AE2D6B">
        <w:trPr>
          <w:cantSplit/>
          <w:trHeight w:val="15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2. Проведення земельних торгів (аукціонів)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  <w:p w:rsidR="00AE2D6B" w:rsidRPr="008D7C63" w:rsidRDefault="00AE2D6B" w:rsidP="00C32AF7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7C63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ind w:hanging="8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126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3. Продаж земельних ділянок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5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297D0E" w:rsidRDefault="00AE2D6B" w:rsidP="00C32AF7">
            <w:pPr>
              <w:rPr>
                <w:sz w:val="22"/>
                <w:szCs w:val="22"/>
                <w:lang w:val="uk-UA"/>
              </w:rPr>
            </w:pPr>
            <w:r w:rsidRPr="00297D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 Виготовлення паспортів водних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паспортів водних об'єктів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27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 xml:space="preserve">Оперативне управління та ефективне використання майна комунальної власності на території Сумської </w:t>
            </w:r>
            <w:r>
              <w:rPr>
                <w:b/>
                <w:lang w:val="uk-UA"/>
              </w:rPr>
              <w:t>МТГ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5. </w:t>
            </w:r>
            <w:r w:rsidRPr="00A01D6D">
              <w:rPr>
                <w:sz w:val="22"/>
                <w:szCs w:val="22"/>
                <w:lang w:val="uk-UA"/>
              </w:rPr>
              <w:t>Управління об</w:t>
            </w:r>
            <w:r w:rsidRPr="00A01D6D">
              <w:rPr>
                <w:sz w:val="22"/>
                <w:szCs w:val="22"/>
              </w:rPr>
              <w:t>’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 xml:space="preserve">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Внесення інформації до державного реєстру прав на нерухоме майно, проведення технічної інвентаризації та виготовлення технічних паспортів, нотаріальне посвідчення копій документів; визначення вартості майна шляхом проведення незалежної оцінки та рецензування звітів про оцінку, технічне (експертне) обстеження будівель та споруд, публікація оголошень у друкованих засобах масової інформації; охорона та вжиття інших заходів щодо управління об’єктами комунальної власності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Находження коштів до бюджету Сумської МТГ від оренди комунального майна в розмірі 65,5 млн. грн. 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</w:t>
            </w:r>
            <w:r w:rsidRPr="008D7C63">
              <w:rPr>
                <w:sz w:val="22"/>
                <w:szCs w:val="22"/>
                <w:lang w:val="uk-UA"/>
              </w:rPr>
              <w:t xml:space="preserve">Відчуження об’єктів  комунальної власності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незалежної оцінки, рецензування звітів про оцінку, публікація оголошень у друкованих засобах масової інформації,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ind w:firstLine="61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Надходження коштів від прива</w:t>
            </w:r>
            <w:r>
              <w:rPr>
                <w:sz w:val="22"/>
                <w:szCs w:val="22"/>
                <w:lang w:val="uk-UA"/>
              </w:rPr>
              <w:t xml:space="preserve">тизації комунального майна в розмірі 3,0 </w:t>
            </w:r>
            <w:r w:rsidRPr="008D7C63">
              <w:rPr>
                <w:sz w:val="22"/>
                <w:szCs w:val="22"/>
                <w:lang w:val="uk-UA"/>
              </w:rPr>
              <w:t>млн. грн.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E2D6B" w:rsidRPr="008D7C63" w:rsidTr="00AE2D6B">
        <w:trPr>
          <w:cantSplit/>
          <w:trHeight w:val="33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CE33AE" w:rsidRDefault="00AE2D6B" w:rsidP="00C32AF7">
            <w:pPr>
              <w:jc w:val="center"/>
              <w:rPr>
                <w:b/>
                <w:lang w:val="uk-UA"/>
              </w:rPr>
            </w:pPr>
            <w:r w:rsidRPr="00CE33AE">
              <w:rPr>
                <w:b/>
                <w:lang w:val="uk-UA"/>
              </w:rPr>
              <w:t>Проведення позовної роботи та виконання судових рішень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Pr="008D7C63">
              <w:rPr>
                <w:sz w:val="22"/>
                <w:szCs w:val="22"/>
                <w:lang w:val="uk-UA"/>
              </w:rPr>
              <w:t xml:space="preserve">.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та майном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Сплата судового збору; виконавчого збору;</w:t>
            </w:r>
            <w:r w:rsidRPr="008D7C63">
              <w:rPr>
                <w:sz w:val="22"/>
                <w:szCs w:val="22"/>
                <w:lang w:val="uk-UA"/>
              </w:rPr>
              <w:t xml:space="preserve"> витрат, пов’язаних з організаціє</w:t>
            </w:r>
            <w:r>
              <w:rPr>
                <w:sz w:val="22"/>
                <w:szCs w:val="22"/>
                <w:lang w:val="uk-UA"/>
              </w:rPr>
              <w:t>ю та проведенням виконавчих дій;</w:t>
            </w:r>
            <w:r w:rsidRPr="008D7C63">
              <w:rPr>
                <w:sz w:val="22"/>
                <w:szCs w:val="22"/>
                <w:lang w:val="uk-UA"/>
              </w:rPr>
              <w:t xml:space="preserve"> послуг професійн</w:t>
            </w:r>
            <w:r>
              <w:rPr>
                <w:sz w:val="22"/>
                <w:szCs w:val="22"/>
                <w:lang w:val="uk-UA"/>
              </w:rPr>
              <w:t>ої правничої допомоги адвокатів; штрафів;</w:t>
            </w:r>
            <w:r w:rsidRPr="008D7C63">
              <w:rPr>
                <w:sz w:val="22"/>
                <w:szCs w:val="22"/>
                <w:lang w:val="uk-UA"/>
              </w:rPr>
              <w:t xml:space="preserve"> відшкодування шкоди та інших зобов’язань, у т. ч. стягнутих з Сумської міської ради та Сумського міського голови та пов'язаних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1700,0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Створення передумов забезпечення виконання надходження коштів до бюджету міста, шляхом вирішення проблем ефективного використання комунального майна та земельних ресурсів в результаті ефективної претензійно-позовної роботи зі стягнення заборгованості по орендній платі з юридичних та фізичних осіб – орендарів комунального майна, дострокового розірвання договорів з боржниками та примусового виселення з нежитлових приміщень;</w:t>
            </w:r>
          </w:p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зі стягнення безпідставно збережених коштів внаслідок користування земельними ділянками комунальної власності без оформлення відповідних документів;</w:t>
            </w:r>
          </w:p>
        </w:tc>
      </w:tr>
      <w:tr w:rsidR="00AE2D6B" w:rsidRPr="00255570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скасування </w:t>
            </w:r>
            <w:r w:rsidRPr="00BD107F">
              <w:rPr>
                <w:sz w:val="22"/>
                <w:szCs w:val="22"/>
                <w:lang w:val="uk-UA"/>
              </w:rPr>
              <w:t>протиправної державної реєстрації речових прав на нерухоме майно та їх обтяжень щодо об’єктів нерухомості розташованих на комунальних земельних ділянках; забезпечення належної співпраці з відділами Державної виконавчої служби з приводу ефективного виконання судових рішень у сфері управління майном та земельними ділянками комунальної власності.</w:t>
            </w:r>
          </w:p>
        </w:tc>
      </w:tr>
      <w:tr w:rsidR="00AE2D6B" w:rsidRPr="008D7C63" w:rsidTr="00AE2D6B">
        <w:trPr>
          <w:trHeight w:val="350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1D15F5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AE2D6B">
              <w:rPr>
                <w:b/>
                <w:sz w:val="22"/>
                <w:szCs w:val="22"/>
                <w:lang w:val="uk-UA"/>
              </w:rPr>
              <w:t>59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1D15F5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AE2D6B">
              <w:rPr>
                <w:b/>
                <w:sz w:val="22"/>
                <w:szCs w:val="22"/>
                <w:lang w:val="uk-UA"/>
              </w:rPr>
              <w:t>83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3130</w:t>
            </w:r>
            <w:r w:rsidRPr="008D7C63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rStyle w:val="a4"/>
                <w:sz w:val="22"/>
                <w:szCs w:val="22"/>
                <w:lang w:eastAsia="uk-UA"/>
              </w:rPr>
            </w:pPr>
          </w:p>
        </w:tc>
      </w:tr>
    </w:tbl>
    <w:p w:rsidR="00AE2D6B" w:rsidRPr="008D7C63" w:rsidRDefault="00AE2D6B" w:rsidP="00AE2D6B">
      <w:pPr>
        <w:rPr>
          <w:sz w:val="16"/>
          <w:szCs w:val="16"/>
          <w:lang w:val="uk-UA"/>
        </w:rPr>
      </w:pPr>
    </w:p>
    <w:p w:rsidR="00AE2D6B" w:rsidRPr="008D7C63" w:rsidRDefault="00AE2D6B" w:rsidP="00AE2D6B">
      <w:pPr>
        <w:jc w:val="center"/>
        <w:rPr>
          <w:sz w:val="16"/>
          <w:szCs w:val="16"/>
          <w:lang w:val="uk-UA"/>
        </w:rPr>
      </w:pPr>
    </w:p>
    <w:p w:rsidR="00AE2D6B" w:rsidRDefault="00AE2D6B" w:rsidP="00AE2D6B">
      <w:pPr>
        <w:jc w:val="right"/>
      </w:pPr>
    </w:p>
    <w:p w:rsidR="00202EA3" w:rsidRDefault="00202EA3" w:rsidP="00AE2D6B">
      <w:pPr>
        <w:jc w:val="right"/>
      </w:pPr>
    </w:p>
    <w:p w:rsidR="00202EA3" w:rsidRDefault="00202EA3" w:rsidP="00AE2D6B">
      <w:pPr>
        <w:jc w:val="right"/>
      </w:pPr>
    </w:p>
    <w:p w:rsidR="00202EA3" w:rsidRDefault="00202EA3" w:rsidP="00202EA3">
      <w:pPr>
        <w:tabs>
          <w:tab w:val="left" w:pos="10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О.М. Лисенко</w:t>
      </w:r>
    </w:p>
    <w:p w:rsidR="00202EA3" w:rsidRDefault="00202EA3" w:rsidP="00202EA3">
      <w:pPr>
        <w:tabs>
          <w:tab w:val="left" w:pos="10800"/>
        </w:tabs>
        <w:rPr>
          <w:b/>
          <w:sz w:val="28"/>
          <w:szCs w:val="28"/>
          <w:lang w:val="uk-UA"/>
        </w:rPr>
      </w:pPr>
    </w:p>
    <w:p w:rsidR="00202EA3" w:rsidRDefault="00202EA3" w:rsidP="00202EA3">
      <w:pPr>
        <w:tabs>
          <w:tab w:val="left" w:pos="10800"/>
        </w:tabs>
        <w:rPr>
          <w:b/>
          <w:sz w:val="28"/>
          <w:szCs w:val="28"/>
          <w:lang w:val="uk-UA"/>
        </w:rPr>
      </w:pP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Клименко Ю.М.</w:t>
      </w: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202EA3" w:rsidRDefault="00202EA3" w:rsidP="00AE2D6B">
      <w:pPr>
        <w:jc w:val="right"/>
      </w:pPr>
    </w:p>
    <w:sectPr w:rsidR="00202EA3" w:rsidSect="00AE2D6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B"/>
    <w:rsid w:val="001D15F5"/>
    <w:rsid w:val="00202EA3"/>
    <w:rsid w:val="00255570"/>
    <w:rsid w:val="00491DC7"/>
    <w:rsid w:val="005E538B"/>
    <w:rsid w:val="00AE2D6B"/>
    <w:rsid w:val="00E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0B1A"/>
  <w15:chartTrackingRefBased/>
  <w15:docId w15:val="{79454DA2-E301-4817-8044-4ABA087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D6B"/>
    <w:pPr>
      <w:spacing w:after="120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AE2D6B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6</cp:revision>
  <dcterms:created xsi:type="dcterms:W3CDTF">2022-10-04T07:04:00Z</dcterms:created>
  <dcterms:modified xsi:type="dcterms:W3CDTF">2022-11-15T10:39:00Z</dcterms:modified>
</cp:coreProperties>
</file>