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0541EF" w:rsidRDefault="000541E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 xml:space="preserve">д </w:t>
      </w:r>
      <w:r w:rsidR="004E564C">
        <w:rPr>
          <w:sz w:val="28"/>
          <w:szCs w:val="28"/>
          <w:lang w:val="uk-UA"/>
        </w:rPr>
        <w:t xml:space="preserve">                            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AA0967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AA0967">
              <w:rPr>
                <w:sz w:val="28"/>
                <w:szCs w:val="28"/>
                <w:lang w:val="uk-UA"/>
              </w:rPr>
              <w:t>633 288,0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 xml:space="preserve">тис.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185884" w:rsidRPr="00AA35DE">
              <w:rPr>
                <w:sz w:val="28"/>
                <w:szCs w:val="28"/>
                <w:lang w:val="uk-UA"/>
              </w:rPr>
              <w:t>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AA0967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AA0967">
              <w:rPr>
                <w:sz w:val="28"/>
                <w:szCs w:val="28"/>
                <w:lang w:val="uk-UA"/>
              </w:rPr>
              <w:t>249 883,2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9645C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9645C9">
              <w:rPr>
                <w:sz w:val="28"/>
                <w:szCs w:val="28"/>
                <w:lang w:val="uk-UA"/>
              </w:rPr>
              <w:t>91 120,9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920CC9" w:rsidRPr="00E861B1" w:rsidRDefault="003063FB" w:rsidP="00920CC9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  <w:r w:rsidR="00920CC9">
        <w:rPr>
          <w:sz w:val="28"/>
          <w:szCs w:val="28"/>
          <w:lang w:val="uk-UA"/>
        </w:rPr>
        <w:t xml:space="preserve">  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C51BCA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C51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C51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C51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C51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C51BCA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C51BCA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C51BCA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C51BCA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C51BCA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C51BCA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C51BCA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C51BC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C51BCA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C51BCA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C51BCA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C51BCA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C51BCA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313738" w:rsidP="00C51BC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633 288,0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C51BCA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</w:t>
            </w:r>
            <w:r w:rsidR="00322B8F">
              <w:rPr>
                <w:b/>
                <w:szCs w:val="28"/>
                <w:lang w:val="uk-UA"/>
              </w:rPr>
              <w:t xml:space="preserve"> </w:t>
            </w:r>
            <w:r w:rsidRPr="00E861B1">
              <w:rPr>
                <w:b/>
                <w:szCs w:val="28"/>
                <w:lang w:val="uk-UA"/>
              </w:rPr>
              <w:t>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51BCA" w:rsidP="00C51BC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313738">
              <w:rPr>
                <w:b/>
                <w:szCs w:val="28"/>
                <w:lang w:val="uk-UA"/>
              </w:rPr>
              <w:t>49883,2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C51BCA" w:rsidP="00C51BC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92 313,0</w:t>
            </w:r>
          </w:p>
        </w:tc>
      </w:tr>
      <w:tr w:rsidR="00A96A69" w:rsidRPr="00E861B1" w:rsidTr="00C51BCA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C51BCA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C51BCA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C51BCA" w:rsidP="00C51BCA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280 005,6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51BCA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87 168,0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C51BCA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67 971,5</w:t>
            </w:r>
          </w:p>
        </w:tc>
      </w:tr>
      <w:tr w:rsidR="00A96A69" w:rsidRPr="00E861B1" w:rsidTr="00C51BCA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C51BCA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313738" w:rsidP="00C51BCA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253 667,1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502ECF" w:rsidRPr="00E861B1">
              <w:rPr>
                <w:szCs w:val="32"/>
                <w:lang w:val="uk-UA"/>
              </w:rPr>
              <w:t>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313738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132 493,4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</w:t>
            </w:r>
            <w:r w:rsidR="00D677C3">
              <w:rPr>
                <w:szCs w:val="32"/>
                <w:lang w:val="uk-UA"/>
              </w:rPr>
              <w:t>4 341,5</w:t>
            </w:r>
          </w:p>
        </w:tc>
      </w:tr>
      <w:tr w:rsidR="00A96A69" w:rsidRPr="00E861B1" w:rsidTr="00C51BCA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C51BCA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C51BCA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C51BCA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C51BCA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C51BCA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C51BCA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C51BCA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C51BCA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C51BCA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C51BCA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313738" w:rsidP="00C51BCA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8 344,6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13738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3 580,8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C51BCA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C51BCA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B4FB4" w:rsidP="00C51BCA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9 369,9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8570,2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C51BCA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C51BCA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3761D1" w:rsidP="00C51BCA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C51BCA" w:rsidP="00C51BCA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196,5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C51BCA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136,5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D677C3" w:rsidTr="00C5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3700" w:type="dxa"/>
          </w:tcPr>
          <w:p w:rsidR="00D677C3" w:rsidRPr="005C0985" w:rsidRDefault="0052694B" w:rsidP="00C51BCA">
            <w:pPr>
              <w:pStyle w:val="ac"/>
              <w:rPr>
                <w:lang w:val="uk-UA"/>
              </w:rPr>
            </w:pPr>
            <w:r w:rsidRPr="0052694B">
              <w:rPr>
                <w:lang w:val="uk-UA"/>
              </w:rPr>
              <w:t>Субвенції з місцевого бюджету на закупівлю опорними закладами охорони здоров'я послуг щодо проектування та встановлення кисневих станцій за рахунок відповідної субвенції з державного бюджету (спеціальний фонд)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677C3" w:rsidRPr="00C51BCA" w:rsidRDefault="00D677C3" w:rsidP="00C51BCA">
            <w:pPr>
              <w:pStyle w:val="ac"/>
              <w:jc w:val="center"/>
              <w:rPr>
                <w:lang w:val="uk-UA"/>
              </w:rPr>
            </w:pPr>
            <w:r w:rsidRPr="00C51BCA">
              <w:rPr>
                <w:lang w:val="uk-UA"/>
              </w:rPr>
              <w:t>1 530,6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77C3" w:rsidRPr="00D677C3" w:rsidRDefault="00D677C3" w:rsidP="00C51BCA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0,0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D677C3" w:rsidRPr="00D677C3" w:rsidRDefault="00D677C3" w:rsidP="00C51BCA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1 530,6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677C3" w:rsidRPr="00D677C3" w:rsidRDefault="00D677C3" w:rsidP="00C51BCA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0,0</w:t>
            </w:r>
          </w:p>
        </w:tc>
      </w:tr>
      <w:tr w:rsidR="00C51BCA" w:rsidTr="00C5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3700" w:type="dxa"/>
          </w:tcPr>
          <w:p w:rsidR="00C51BCA" w:rsidRPr="00C51BCA" w:rsidRDefault="00C51BCA" w:rsidP="00C51BCA">
            <w:pPr>
              <w:pStyle w:val="ac"/>
              <w:rPr>
                <w:lang w:val="uk-UA"/>
              </w:rPr>
            </w:pPr>
            <w:r w:rsidRPr="00C51BCA">
              <w:rPr>
                <w:lang w:val="uk-UA"/>
              </w:rPr>
              <w:t xml:space="preserve">Субвенція з державного бюджету місцевим бюджетам на здійснення підтримки окремих закладів та заходів у системі охорони здоров’я між </w:t>
            </w:r>
            <w:proofErr w:type="spellStart"/>
            <w:r w:rsidRPr="00C51BCA">
              <w:rPr>
                <w:lang w:val="uk-UA"/>
              </w:rPr>
              <w:t>місцевіми</w:t>
            </w:r>
            <w:proofErr w:type="spellEnd"/>
            <w:r w:rsidRPr="00C51BCA">
              <w:rPr>
                <w:lang w:val="uk-UA"/>
              </w:rPr>
              <w:t xml:space="preserve"> бюджетами (спеціальний фонд)</w:t>
            </w:r>
          </w:p>
        </w:tc>
        <w:tc>
          <w:tcPr>
            <w:tcW w:w="1960" w:type="dxa"/>
          </w:tcPr>
          <w:p w:rsidR="00C51BCA" w:rsidRPr="00C51BCA" w:rsidRDefault="00C51BCA" w:rsidP="00C51BCA">
            <w:pPr>
              <w:pStyle w:val="ac"/>
              <w:jc w:val="center"/>
              <w:rPr>
                <w:lang w:val="uk-UA"/>
              </w:rPr>
            </w:pPr>
            <w:r w:rsidRPr="00C51BCA">
              <w:rPr>
                <w:lang w:val="uk-UA"/>
              </w:rPr>
              <w:t>5000</w:t>
            </w:r>
          </w:p>
        </w:tc>
        <w:tc>
          <w:tcPr>
            <w:tcW w:w="1360" w:type="dxa"/>
          </w:tcPr>
          <w:p w:rsidR="00C51BCA" w:rsidRPr="00C51BCA" w:rsidRDefault="00C51BCA" w:rsidP="00C51BCA">
            <w:pPr>
              <w:pStyle w:val="ac"/>
              <w:jc w:val="center"/>
              <w:rPr>
                <w:lang w:val="uk-UA"/>
              </w:rPr>
            </w:pPr>
            <w:r w:rsidRPr="00C51BCA">
              <w:rPr>
                <w:lang w:val="uk-UA"/>
              </w:rPr>
              <w:t>0,0</w:t>
            </w:r>
          </w:p>
        </w:tc>
        <w:tc>
          <w:tcPr>
            <w:tcW w:w="1515" w:type="dxa"/>
          </w:tcPr>
          <w:p w:rsidR="00C51BCA" w:rsidRPr="00C51BCA" w:rsidRDefault="00C51BCA" w:rsidP="00C51BCA">
            <w:pPr>
              <w:pStyle w:val="ac"/>
              <w:jc w:val="center"/>
              <w:rPr>
                <w:lang w:val="uk-UA"/>
              </w:rPr>
            </w:pPr>
            <w:r w:rsidRPr="00C51BCA">
              <w:rPr>
                <w:lang w:val="uk-UA"/>
              </w:rPr>
              <w:t>5000</w:t>
            </w:r>
          </w:p>
        </w:tc>
        <w:tc>
          <w:tcPr>
            <w:tcW w:w="1485" w:type="dxa"/>
          </w:tcPr>
          <w:p w:rsidR="00C51BCA" w:rsidRPr="00C51BCA" w:rsidRDefault="00C51BCA" w:rsidP="00C51BCA">
            <w:pPr>
              <w:pStyle w:val="ac"/>
              <w:jc w:val="center"/>
              <w:rPr>
                <w:lang w:val="uk-UA"/>
              </w:rPr>
            </w:pPr>
            <w:r w:rsidRPr="00C51BCA">
              <w:rPr>
                <w:lang w:val="uk-UA"/>
              </w:rPr>
              <w:t>0,0</w:t>
            </w:r>
          </w:p>
        </w:tc>
      </w:tr>
    </w:tbl>
    <w:p w:rsidR="00C51BCA" w:rsidRDefault="00C51BC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51BCA" w:rsidRDefault="00C51BC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lastRenderedPageBreak/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37344B" w:rsidRDefault="00F94C3A" w:rsidP="00EA764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920CC9" w:rsidRDefault="00920CC9" w:rsidP="00920CC9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0CC9" w:rsidRDefault="00920CC9" w:rsidP="00920CC9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0541EF">
        <w:rPr>
          <w:sz w:val="28"/>
          <w:szCs w:val="28"/>
          <w:lang w:val="uk-UA"/>
        </w:rPr>
        <w:t xml:space="preserve">     Олександр ЛИСЕНКО</w:t>
      </w:r>
    </w:p>
    <w:p w:rsidR="00920CC9" w:rsidRPr="00422EF3" w:rsidRDefault="00920CC9" w:rsidP="00EB5599">
      <w:pPr>
        <w:rPr>
          <w:b/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920CC9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D4" w:rsidRDefault="00911DD4">
      <w:r>
        <w:separator/>
      </w:r>
    </w:p>
  </w:endnote>
  <w:endnote w:type="continuationSeparator" w:id="0">
    <w:p w:rsidR="00911DD4" w:rsidRDefault="0091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D4" w:rsidRDefault="00911DD4">
      <w:r>
        <w:separator/>
      </w:r>
    </w:p>
  </w:footnote>
  <w:footnote w:type="continuationSeparator" w:id="0">
    <w:p w:rsidR="00911DD4" w:rsidRDefault="00911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4C5"/>
    <w:rsid w:val="00043511"/>
    <w:rsid w:val="0004453E"/>
    <w:rsid w:val="0004798A"/>
    <w:rsid w:val="00052575"/>
    <w:rsid w:val="000541EF"/>
    <w:rsid w:val="000613F5"/>
    <w:rsid w:val="000622C0"/>
    <w:rsid w:val="00072057"/>
    <w:rsid w:val="00072DCC"/>
    <w:rsid w:val="00074038"/>
    <w:rsid w:val="000851DD"/>
    <w:rsid w:val="0008552F"/>
    <w:rsid w:val="000A7C77"/>
    <w:rsid w:val="000B052D"/>
    <w:rsid w:val="000B4FB4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611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839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0B1C"/>
    <w:rsid w:val="002139DD"/>
    <w:rsid w:val="002152DD"/>
    <w:rsid w:val="002218A3"/>
    <w:rsid w:val="00221CA4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14AF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4476"/>
    <w:rsid w:val="002D56BD"/>
    <w:rsid w:val="002E71B3"/>
    <w:rsid w:val="002E7634"/>
    <w:rsid w:val="002E7D6E"/>
    <w:rsid w:val="002F0891"/>
    <w:rsid w:val="003063FB"/>
    <w:rsid w:val="003105BF"/>
    <w:rsid w:val="00313738"/>
    <w:rsid w:val="003208B4"/>
    <w:rsid w:val="00322B8F"/>
    <w:rsid w:val="00324CEA"/>
    <w:rsid w:val="003265C2"/>
    <w:rsid w:val="00327CA4"/>
    <w:rsid w:val="00333CFA"/>
    <w:rsid w:val="00334934"/>
    <w:rsid w:val="00340038"/>
    <w:rsid w:val="00352B1B"/>
    <w:rsid w:val="00353924"/>
    <w:rsid w:val="0035676C"/>
    <w:rsid w:val="00357382"/>
    <w:rsid w:val="00364F0F"/>
    <w:rsid w:val="003664E5"/>
    <w:rsid w:val="00366C9E"/>
    <w:rsid w:val="00371210"/>
    <w:rsid w:val="0037130B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D51A2"/>
    <w:rsid w:val="003E3140"/>
    <w:rsid w:val="003F2BC5"/>
    <w:rsid w:val="003F343C"/>
    <w:rsid w:val="004027A3"/>
    <w:rsid w:val="00406D16"/>
    <w:rsid w:val="00407293"/>
    <w:rsid w:val="0041332C"/>
    <w:rsid w:val="004144CD"/>
    <w:rsid w:val="00415054"/>
    <w:rsid w:val="00416C30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355E"/>
    <w:rsid w:val="00475008"/>
    <w:rsid w:val="00481F00"/>
    <w:rsid w:val="00492C1C"/>
    <w:rsid w:val="004B1925"/>
    <w:rsid w:val="004B4C5F"/>
    <w:rsid w:val="004C0D0C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564C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694B"/>
    <w:rsid w:val="00527B4D"/>
    <w:rsid w:val="00531737"/>
    <w:rsid w:val="0053267B"/>
    <w:rsid w:val="005368C4"/>
    <w:rsid w:val="00546D59"/>
    <w:rsid w:val="00552B3C"/>
    <w:rsid w:val="00553B5F"/>
    <w:rsid w:val="00555B19"/>
    <w:rsid w:val="00555CA5"/>
    <w:rsid w:val="0055673E"/>
    <w:rsid w:val="00560290"/>
    <w:rsid w:val="00564C89"/>
    <w:rsid w:val="00567584"/>
    <w:rsid w:val="00570D30"/>
    <w:rsid w:val="00571268"/>
    <w:rsid w:val="005714D8"/>
    <w:rsid w:val="00571ED3"/>
    <w:rsid w:val="00573AC0"/>
    <w:rsid w:val="00573E4F"/>
    <w:rsid w:val="00575A1C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1E00"/>
    <w:rsid w:val="005B4837"/>
    <w:rsid w:val="005B5BA7"/>
    <w:rsid w:val="005B73F1"/>
    <w:rsid w:val="005C0985"/>
    <w:rsid w:val="005C16F9"/>
    <w:rsid w:val="005C373F"/>
    <w:rsid w:val="005C3D4E"/>
    <w:rsid w:val="005C5E59"/>
    <w:rsid w:val="005D1656"/>
    <w:rsid w:val="005D5B18"/>
    <w:rsid w:val="005D6D11"/>
    <w:rsid w:val="005E1AA7"/>
    <w:rsid w:val="005E2782"/>
    <w:rsid w:val="005E4C72"/>
    <w:rsid w:val="005E5559"/>
    <w:rsid w:val="005F3C0F"/>
    <w:rsid w:val="00606141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85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645F3"/>
    <w:rsid w:val="007778C1"/>
    <w:rsid w:val="0079001B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1256"/>
    <w:rsid w:val="00902DC7"/>
    <w:rsid w:val="0090439E"/>
    <w:rsid w:val="00907ADA"/>
    <w:rsid w:val="00911DD4"/>
    <w:rsid w:val="00911FD4"/>
    <w:rsid w:val="00912C15"/>
    <w:rsid w:val="00920CC9"/>
    <w:rsid w:val="00920ED2"/>
    <w:rsid w:val="0092177C"/>
    <w:rsid w:val="00925241"/>
    <w:rsid w:val="0093148B"/>
    <w:rsid w:val="009341FF"/>
    <w:rsid w:val="00937FC9"/>
    <w:rsid w:val="00942BDD"/>
    <w:rsid w:val="0094654C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645C9"/>
    <w:rsid w:val="00971843"/>
    <w:rsid w:val="00972BE5"/>
    <w:rsid w:val="009736C3"/>
    <w:rsid w:val="0097492B"/>
    <w:rsid w:val="00976D9B"/>
    <w:rsid w:val="00981533"/>
    <w:rsid w:val="009904BB"/>
    <w:rsid w:val="00992CE3"/>
    <w:rsid w:val="00993EB1"/>
    <w:rsid w:val="009968D7"/>
    <w:rsid w:val="009977D4"/>
    <w:rsid w:val="009A183A"/>
    <w:rsid w:val="009A39F2"/>
    <w:rsid w:val="009A56E5"/>
    <w:rsid w:val="009A59AE"/>
    <w:rsid w:val="009A723F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1704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0967"/>
    <w:rsid w:val="00AA35DE"/>
    <w:rsid w:val="00AA36C1"/>
    <w:rsid w:val="00AA4CFA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1320"/>
    <w:rsid w:val="00BA2F09"/>
    <w:rsid w:val="00BA4CB9"/>
    <w:rsid w:val="00BA60FA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1BCA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22512"/>
    <w:rsid w:val="00D32124"/>
    <w:rsid w:val="00D3429F"/>
    <w:rsid w:val="00D403BA"/>
    <w:rsid w:val="00D41675"/>
    <w:rsid w:val="00D503E5"/>
    <w:rsid w:val="00D55375"/>
    <w:rsid w:val="00D553E3"/>
    <w:rsid w:val="00D5564B"/>
    <w:rsid w:val="00D624BA"/>
    <w:rsid w:val="00D677C3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266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0891"/>
    <w:rsid w:val="00E314CF"/>
    <w:rsid w:val="00E3731D"/>
    <w:rsid w:val="00E51352"/>
    <w:rsid w:val="00E53E07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64D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23C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179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E4CFB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48BA-0B65-4469-A422-03643005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77</cp:revision>
  <cp:lastPrinted>2022-01-20T07:43:00Z</cp:lastPrinted>
  <dcterms:created xsi:type="dcterms:W3CDTF">2020-09-16T07:55:00Z</dcterms:created>
  <dcterms:modified xsi:type="dcterms:W3CDTF">2022-01-21T09:57:00Z</dcterms:modified>
</cp:coreProperties>
</file>