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21180F" w:rsidTr="007557EF">
        <w:tc>
          <w:tcPr>
            <w:tcW w:w="4671" w:type="dxa"/>
          </w:tcPr>
          <w:p w:rsidR="0021180F" w:rsidRPr="0021180F" w:rsidRDefault="0021180F" w:rsidP="00D16D5B">
            <w:pPr>
              <w:ind w:left="-108"/>
              <w:jc w:val="both"/>
              <w:rPr>
                <w:sz w:val="28"/>
                <w:szCs w:val="28"/>
              </w:rPr>
            </w:pPr>
            <w:r w:rsidRPr="0021180F">
              <w:rPr>
                <w:sz w:val="28"/>
                <w:szCs w:val="28"/>
              </w:rPr>
              <w:t>Додаток 1</w:t>
            </w:r>
          </w:p>
          <w:p w:rsidR="00385C2F" w:rsidRDefault="0021180F" w:rsidP="00385C2F">
            <w:pPr>
              <w:ind w:left="-108"/>
              <w:jc w:val="both"/>
              <w:rPr>
                <w:b/>
                <w:sz w:val="28"/>
              </w:rPr>
            </w:pPr>
            <w:r w:rsidRPr="0021180F">
              <w:rPr>
                <w:sz w:val="28"/>
                <w:szCs w:val="28"/>
              </w:rPr>
              <w:t>д</w:t>
            </w:r>
            <w:r w:rsidR="00BB1C7E">
              <w:rPr>
                <w:sz w:val="28"/>
                <w:szCs w:val="28"/>
              </w:rPr>
              <w:t xml:space="preserve">о       рішення     Сумської   міської  </w:t>
            </w:r>
            <w:r w:rsidRPr="0021180F">
              <w:rPr>
                <w:sz w:val="28"/>
                <w:szCs w:val="28"/>
              </w:rPr>
              <w:t>ради</w:t>
            </w:r>
            <w:r w:rsidR="00BB1C7E">
              <w:rPr>
                <w:sz w:val="28"/>
                <w:szCs w:val="28"/>
              </w:rPr>
              <w:t xml:space="preserve"> «</w:t>
            </w:r>
            <w:r w:rsidR="00F74814" w:rsidRPr="00F74814">
              <w:rPr>
                <w:sz w:val="28"/>
                <w:szCs w:val="28"/>
              </w:rPr>
              <w:t>Про хід виконання цільової  Програми  підтримки  малого  і  середнього підприємництва Сумської міської   територіальної громади  на 2022-2024 роки, затвердженої рішенням Сумської міської ради від 29</w:t>
            </w:r>
            <w:r w:rsidR="00EA52B0">
              <w:rPr>
                <w:sz w:val="28"/>
                <w:szCs w:val="28"/>
              </w:rPr>
              <w:t xml:space="preserve"> вересня 2021 року </w:t>
            </w:r>
            <w:r w:rsidR="00F74814" w:rsidRPr="00F74814">
              <w:rPr>
                <w:sz w:val="28"/>
                <w:szCs w:val="28"/>
              </w:rPr>
              <w:t>№ 1601-МР, за 2022 рік</w:t>
            </w:r>
            <w:r w:rsidR="00F61B55">
              <w:rPr>
                <w:sz w:val="28"/>
                <w:szCs w:val="28"/>
              </w:rPr>
              <w:t>»</w:t>
            </w:r>
          </w:p>
          <w:p w:rsidR="00BB4BF1" w:rsidRPr="00385C2F" w:rsidRDefault="00385C2F" w:rsidP="00385C2F">
            <w:pPr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від___________</w:t>
            </w:r>
            <w:r w:rsidR="00F74814">
              <w:rPr>
                <w:sz w:val="28"/>
              </w:rPr>
              <w:t>2023</w:t>
            </w:r>
            <w:r w:rsidR="00BB4BF1" w:rsidRPr="00BB4BF1">
              <w:rPr>
                <w:sz w:val="28"/>
              </w:rPr>
              <w:t xml:space="preserve"> року №____</w:t>
            </w:r>
            <w:r>
              <w:rPr>
                <w:sz w:val="28"/>
              </w:rPr>
              <w:t>__</w:t>
            </w:r>
            <w:r w:rsidR="00BB4BF1" w:rsidRPr="00BB4BF1">
              <w:rPr>
                <w:sz w:val="28"/>
              </w:rPr>
              <w:t>_</w:t>
            </w:r>
          </w:p>
        </w:tc>
      </w:tr>
    </w:tbl>
    <w:p w:rsidR="007557EF" w:rsidRDefault="007557EF" w:rsidP="00B772E5">
      <w:pPr>
        <w:ind w:firstLine="567"/>
        <w:jc w:val="center"/>
        <w:rPr>
          <w:b/>
          <w:sz w:val="28"/>
        </w:rPr>
      </w:pPr>
    </w:p>
    <w:tbl>
      <w:tblPr>
        <w:tblStyle w:val="a4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61B55" w:rsidTr="00F61B55">
        <w:trPr>
          <w:trHeight w:val="2168"/>
        </w:trPr>
        <w:tc>
          <w:tcPr>
            <w:tcW w:w="6946" w:type="dxa"/>
          </w:tcPr>
          <w:p w:rsidR="00F61B55" w:rsidRDefault="00F61B55" w:rsidP="00F61B55">
            <w:pPr>
              <w:jc w:val="center"/>
              <w:rPr>
                <w:b/>
                <w:sz w:val="28"/>
              </w:rPr>
            </w:pPr>
            <w:r w:rsidRPr="00F61B55">
              <w:rPr>
                <w:b/>
                <w:sz w:val="28"/>
              </w:rPr>
              <w:t>Інформація</w:t>
            </w:r>
          </w:p>
          <w:p w:rsidR="00D76483" w:rsidRDefault="00F61B55" w:rsidP="00EA52B0">
            <w:pPr>
              <w:jc w:val="center"/>
              <w:rPr>
                <w:b/>
                <w:sz w:val="28"/>
              </w:rPr>
            </w:pPr>
            <w:r w:rsidRPr="00F61B55">
              <w:rPr>
                <w:b/>
                <w:sz w:val="28"/>
              </w:rPr>
              <w:t>про хід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виконання  цільової  Програми підтримки малого і середнього підприємництва Сумської міської </w:t>
            </w:r>
            <w:r w:rsidR="00D76483"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територіальної громади на </w:t>
            </w:r>
            <w:r w:rsidR="00F74814" w:rsidRPr="00F74814">
              <w:rPr>
                <w:b/>
                <w:sz w:val="28"/>
              </w:rPr>
              <w:t>2022-2024 роки</w:t>
            </w:r>
            <w:r w:rsidRPr="00F61B55">
              <w:rPr>
                <w:b/>
                <w:sz w:val="28"/>
              </w:rPr>
              <w:t xml:space="preserve">, затвердженої </w:t>
            </w:r>
            <w:r w:rsidR="009378EE"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рішенням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Сумської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міської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ради </w:t>
            </w:r>
            <w:r w:rsidR="009378EE">
              <w:rPr>
                <w:b/>
                <w:sz w:val="28"/>
              </w:rPr>
              <w:t xml:space="preserve">   </w:t>
            </w:r>
            <w:r w:rsidRPr="00F61B55">
              <w:rPr>
                <w:b/>
                <w:sz w:val="28"/>
              </w:rPr>
              <w:t xml:space="preserve">від </w:t>
            </w:r>
            <w:r w:rsidR="00F74814">
              <w:rPr>
                <w:b/>
                <w:sz w:val="28"/>
              </w:rPr>
              <w:t xml:space="preserve">29 вересня 2021 року </w:t>
            </w:r>
            <w:r w:rsidR="00F74814" w:rsidRPr="00F74814">
              <w:rPr>
                <w:b/>
                <w:sz w:val="28"/>
              </w:rPr>
              <w:t>№ 1601-МР,</w:t>
            </w:r>
            <w:r w:rsidR="00EA52B0">
              <w:rPr>
                <w:b/>
                <w:sz w:val="28"/>
              </w:rPr>
              <w:t xml:space="preserve"> </w:t>
            </w:r>
            <w:r w:rsidR="00F74814" w:rsidRPr="00F74814">
              <w:rPr>
                <w:b/>
                <w:sz w:val="28"/>
              </w:rPr>
              <w:t>за 2022 рік</w:t>
            </w:r>
          </w:p>
          <w:p w:rsidR="00F61B55" w:rsidRDefault="00D76483" w:rsidP="00EA52B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</w:t>
            </w:r>
          </w:p>
        </w:tc>
      </w:tr>
    </w:tbl>
    <w:p w:rsidR="004953BE" w:rsidRPr="004953BE" w:rsidRDefault="004953BE" w:rsidP="004953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 xml:space="preserve">На виконання цільової Програми підтримки малого і середнього підприємництва Сумської міської територіальної громади на 2022-2024 роки Департаментом забезпечення ресурсних платежів Сумської міської ради (далі – департамент) 20 січня 2022 року в приміщенні Сумського Бізнес </w:t>
      </w:r>
      <w:proofErr w:type="spellStart"/>
      <w:r w:rsidRPr="004953BE">
        <w:rPr>
          <w:sz w:val="28"/>
          <w:szCs w:val="28"/>
          <w:lang w:eastAsia="ar-SA"/>
        </w:rPr>
        <w:t>Хабу</w:t>
      </w:r>
      <w:proofErr w:type="spellEnd"/>
      <w:r w:rsidRPr="004953BE">
        <w:rPr>
          <w:sz w:val="28"/>
          <w:szCs w:val="28"/>
          <w:lang w:eastAsia="ar-SA"/>
        </w:rPr>
        <w:t xml:space="preserve"> в Конгрес-центрі </w:t>
      </w:r>
      <w:proofErr w:type="spellStart"/>
      <w:r w:rsidRPr="004953BE">
        <w:rPr>
          <w:sz w:val="28"/>
          <w:szCs w:val="28"/>
          <w:lang w:eastAsia="ar-SA"/>
        </w:rPr>
        <w:t>СумДУ</w:t>
      </w:r>
      <w:proofErr w:type="spellEnd"/>
      <w:r w:rsidRPr="004953BE">
        <w:rPr>
          <w:sz w:val="28"/>
          <w:szCs w:val="28"/>
          <w:lang w:eastAsia="ar-SA"/>
        </w:rPr>
        <w:t xml:space="preserve"> організовано та проведено семінар на тему «Роз’яснення питань підключення РРО» за участю 53 суб’єктів господарювання. До семінару були залучені представники Головного управління ДПС у Сумській області, представники АТ «Райффайзен Банк» та АТ КБ «Приватбанк». Питання, які розглядалися: актуальні питання з одноразового добровільного (спеціального) декларування; особливості кампанії декларування майнового стану та доходів громадян, отриманих у 2021 році; податкові новації – 2022: про використання РРО/ПРРО фізичними особами-підприємцями; інформування про порядок ведення обліку товарних запасів фізичними особами-підприємцями; реєстрація програмних РРО.</w:t>
      </w:r>
    </w:p>
    <w:p w:rsidR="004953BE" w:rsidRPr="004953BE" w:rsidRDefault="004953BE" w:rsidP="004953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 xml:space="preserve">21 квітня 2022 року було проведено нараду  при міському голові з питання організації роботи бізнесу Сумської МТГ в умовах воєнного стану, а саме, визначення проблемних питань та шляхів їх вирішення за участі представників підприємницького середовища. Серед проблемних питань були визначені: кадрові питання; оплата оренди за користування комунальним та приватним майном підприємствами, які не мають можливості відновити роботу, або відновили її частково. </w:t>
      </w:r>
    </w:p>
    <w:p w:rsidR="004953BE" w:rsidRPr="004953BE" w:rsidRDefault="004953BE" w:rsidP="004953B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3BE">
        <w:rPr>
          <w:sz w:val="28"/>
          <w:szCs w:val="28"/>
          <w:lang w:eastAsia="ar-SA"/>
        </w:rPr>
        <w:t>За результатами підготовлено та прийнято рішення виконавчого комітету Сумської міської ради від 29 квітня 2022 року № 113 «Про підтримку суб’єктів господарювання у сфері зовнішньої реклами на період дії воєнного стану на території Сумської МТГ».</w:t>
      </w:r>
      <w:r w:rsidRPr="004953BE">
        <w:rPr>
          <w:rFonts w:eastAsia="Calibri"/>
          <w:sz w:val="28"/>
          <w:szCs w:val="28"/>
          <w:lang w:eastAsia="en-US"/>
        </w:rPr>
        <w:t xml:space="preserve"> </w:t>
      </w:r>
    </w:p>
    <w:p w:rsidR="004953BE" w:rsidRPr="004953BE" w:rsidRDefault="004953BE" w:rsidP="004953B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>З метою підтримки орендарів на період воєнного стану в кр</w:t>
      </w:r>
      <w:r w:rsidR="00AA0D51">
        <w:rPr>
          <w:sz w:val="28"/>
          <w:szCs w:val="28"/>
          <w:lang w:eastAsia="ar-SA"/>
        </w:rPr>
        <w:t>аїні, департаментом підготовлені</w:t>
      </w:r>
      <w:r w:rsidRPr="004953BE">
        <w:rPr>
          <w:sz w:val="28"/>
          <w:szCs w:val="28"/>
          <w:lang w:eastAsia="ar-SA"/>
        </w:rPr>
        <w:t>, а Сумськ</w:t>
      </w:r>
      <w:r w:rsidR="00AA0D51">
        <w:rPr>
          <w:sz w:val="28"/>
          <w:szCs w:val="28"/>
          <w:lang w:eastAsia="ar-SA"/>
        </w:rPr>
        <w:t>ою міською радою прийняті</w:t>
      </w:r>
      <w:r w:rsidRPr="004953BE">
        <w:rPr>
          <w:sz w:val="28"/>
          <w:szCs w:val="28"/>
          <w:lang w:eastAsia="ar-SA"/>
        </w:rPr>
        <w:t xml:space="preserve"> рішення від </w:t>
      </w:r>
      <w:r w:rsidRPr="004953BE">
        <w:rPr>
          <w:sz w:val="28"/>
          <w:szCs w:val="28"/>
          <w:lang w:eastAsia="ar-SA"/>
        </w:rPr>
        <w:lastRenderedPageBreak/>
        <w:t>14.06.2022 № 3010-МР «</w:t>
      </w:r>
      <w:hyperlink r:id="rId6" w:history="1">
        <w:r w:rsidRPr="004953BE">
          <w:rPr>
            <w:iCs/>
            <w:color w:val="000000"/>
            <w:sz w:val="28"/>
            <w:szCs w:val="28"/>
            <w:lang w:eastAsia="ar-SA"/>
          </w:rPr>
          <w:t>Про звільнення орендарів від орендної плати за користування майном комунальної власності Сумської міської територіальної громади з 01.03.2022 по 30.06.2022</w:t>
        </w:r>
        <w:r w:rsidRPr="004953BE">
          <w:rPr>
            <w:sz w:val="28"/>
            <w:szCs w:val="28"/>
            <w:lang w:eastAsia="ar-SA"/>
          </w:rPr>
          <w:t>»</w:t>
        </w:r>
      </w:hyperlink>
      <w:r w:rsidRPr="004953BE">
        <w:rPr>
          <w:sz w:val="28"/>
          <w:szCs w:val="28"/>
          <w:lang w:eastAsia="ar-SA"/>
        </w:rPr>
        <w:t xml:space="preserve">; від 28 вересня 2022 року № 3137-МР «Про звільнення орендарів від орендної плати за користування майном комунальної власності Сумської міської </w:t>
      </w:r>
      <w:r w:rsidR="00AA0D51">
        <w:rPr>
          <w:sz w:val="28"/>
          <w:szCs w:val="28"/>
          <w:lang w:eastAsia="ar-SA"/>
        </w:rPr>
        <w:t>територіальної громади з 01.07.</w:t>
      </w:r>
      <w:r w:rsidRPr="004953BE">
        <w:rPr>
          <w:sz w:val="28"/>
          <w:szCs w:val="28"/>
          <w:lang w:eastAsia="ar-SA"/>
        </w:rPr>
        <w:t>2022 по 31.08.2022»; від 14.12.2022 № 3359-МР «Про звільнення орендарів від орендної плати за користування майном комунальної власності Сумської міської територіальної громади з 01.09.2022 по 31.12.2022».</w:t>
      </w:r>
    </w:p>
    <w:p w:rsidR="004953BE" w:rsidRPr="004953BE" w:rsidRDefault="004953BE" w:rsidP="004953B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 xml:space="preserve">Зважаючи на введення воєнного стану в країні, засідання координаційної ради з питань розвитку підприємництва не проводились. Актуальна інформація стосовно особливостей роботи малого і середнього бізнесу Сумської МТГ в умовах воєнного стану постійно розміщується на офіційному сайті Сумської міської ради  та розсилається департаментом електронною поштою членам координаційної ради з питань розвитку підприємництва, на електронні адреси суб’єктів господарювання (278 отримувачів) та розміщується в мережі </w:t>
      </w:r>
      <w:proofErr w:type="spellStart"/>
      <w:r w:rsidRPr="004953BE">
        <w:rPr>
          <w:sz w:val="28"/>
          <w:szCs w:val="28"/>
          <w:lang w:eastAsia="ar-SA"/>
        </w:rPr>
        <w:t>Facebook</w:t>
      </w:r>
      <w:proofErr w:type="spellEnd"/>
      <w:r w:rsidRPr="004953BE">
        <w:rPr>
          <w:sz w:val="28"/>
          <w:szCs w:val="28"/>
          <w:lang w:eastAsia="ar-SA"/>
        </w:rPr>
        <w:t xml:space="preserve">. Довели до відома підприємців про суттєві податкові пільги для бізнесу в умовах воєнного стану, які передбачено Законом України від 15 березня 2022 року           № 2120-IX «Про внесення змін до Податкового кодексу України та інших законодавчих актів України щодо дії норм на період дії воєнного стану». Так, скасовано обов’язковість сплати єдиного податку для </w:t>
      </w:r>
      <w:proofErr w:type="spellStart"/>
      <w:r w:rsidRPr="004953BE">
        <w:rPr>
          <w:sz w:val="28"/>
          <w:szCs w:val="28"/>
          <w:lang w:eastAsia="ar-SA"/>
        </w:rPr>
        <w:t>ФОПів</w:t>
      </w:r>
      <w:proofErr w:type="spellEnd"/>
      <w:r w:rsidRPr="004953BE">
        <w:rPr>
          <w:sz w:val="28"/>
          <w:szCs w:val="28"/>
          <w:lang w:eastAsia="ar-SA"/>
        </w:rPr>
        <w:t xml:space="preserve"> 1 та 2 груп, у результаті кількість платників єдиного  податку саме 1 та 2 груп з початку введення воєнного стану зменшилась на 688 суб’єктів, з 7391 платників станом на 01.01.2022 до 6703 платників станом на 01.01.2023 року.</w:t>
      </w:r>
    </w:p>
    <w:p w:rsidR="004953BE" w:rsidRPr="004953BE" w:rsidRDefault="004953BE" w:rsidP="004953BE">
      <w:pPr>
        <w:suppressAutoHyphens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ab/>
        <w:t xml:space="preserve">Департаментом постійно проводилась роз’яснювальна та консультаційна робота з питань роботи бізнесу у воєнний час на території Сумської МТГ. Крім того, опрацьована з місцевим бізнесом можливість отримання безповоротної допомоги у сумі 4,5 тис. євро, європейського гранту для представників мікро бізнесу або допомоги бізнесу в умовах війни вимушено перемістити діяльність на безпечну територію України. З 24.02.2022 можливістю </w:t>
      </w:r>
      <w:proofErr w:type="spellStart"/>
      <w:r w:rsidRPr="004953BE">
        <w:rPr>
          <w:sz w:val="28"/>
          <w:szCs w:val="28"/>
          <w:lang w:eastAsia="ar-SA"/>
        </w:rPr>
        <w:t>релокації</w:t>
      </w:r>
      <w:proofErr w:type="spellEnd"/>
      <w:r w:rsidRPr="004953BE">
        <w:rPr>
          <w:sz w:val="28"/>
          <w:szCs w:val="28"/>
          <w:lang w:eastAsia="ar-SA"/>
        </w:rPr>
        <w:t xml:space="preserve"> підприємств з території Сумської міської територіальної громади скористались:                      ТОВ «</w:t>
      </w:r>
      <w:proofErr w:type="spellStart"/>
      <w:r w:rsidRPr="004953BE">
        <w:rPr>
          <w:sz w:val="28"/>
          <w:szCs w:val="28"/>
          <w:lang w:eastAsia="ar-SA"/>
        </w:rPr>
        <w:t>Адвантісс</w:t>
      </w:r>
      <w:proofErr w:type="spellEnd"/>
      <w:r w:rsidRPr="004953BE">
        <w:rPr>
          <w:sz w:val="28"/>
          <w:szCs w:val="28"/>
          <w:lang w:eastAsia="ar-SA"/>
        </w:rPr>
        <w:t xml:space="preserve">» (Чернівецька обл. м. </w:t>
      </w:r>
      <w:proofErr w:type="spellStart"/>
      <w:r w:rsidRPr="004953BE">
        <w:rPr>
          <w:sz w:val="28"/>
          <w:szCs w:val="28"/>
          <w:lang w:eastAsia="ar-SA"/>
        </w:rPr>
        <w:t>Сокиряни</w:t>
      </w:r>
      <w:proofErr w:type="spellEnd"/>
      <w:r w:rsidRPr="004953BE">
        <w:rPr>
          <w:sz w:val="28"/>
          <w:szCs w:val="28"/>
          <w:lang w:eastAsia="ar-SA"/>
        </w:rPr>
        <w:t xml:space="preserve">), ТОВ «СМ-ТЕК» (Закарпатська обл., м. Хуст), ФОП </w:t>
      </w:r>
      <w:proofErr w:type="spellStart"/>
      <w:r w:rsidRPr="004953BE">
        <w:rPr>
          <w:sz w:val="28"/>
          <w:szCs w:val="28"/>
          <w:lang w:eastAsia="ar-SA"/>
        </w:rPr>
        <w:t>Бідюк</w:t>
      </w:r>
      <w:proofErr w:type="spellEnd"/>
      <w:r w:rsidRPr="004953BE">
        <w:rPr>
          <w:sz w:val="28"/>
          <w:szCs w:val="28"/>
          <w:lang w:eastAsia="ar-SA"/>
        </w:rPr>
        <w:t xml:space="preserve"> Д.О. (Львівська обл. м. Львів),                   ФОП </w:t>
      </w:r>
      <w:proofErr w:type="spellStart"/>
      <w:r w:rsidRPr="004953BE">
        <w:rPr>
          <w:sz w:val="28"/>
          <w:szCs w:val="28"/>
          <w:lang w:eastAsia="ar-SA"/>
        </w:rPr>
        <w:t>Ганюшин</w:t>
      </w:r>
      <w:proofErr w:type="spellEnd"/>
      <w:r w:rsidRPr="004953BE">
        <w:rPr>
          <w:sz w:val="28"/>
          <w:szCs w:val="28"/>
          <w:lang w:eastAsia="ar-SA"/>
        </w:rPr>
        <w:t xml:space="preserve"> О.М. (Закарпатська обл. м. Ужгород). Також частину виробництва перемістив Заєць В.В., підприємство ТОВ «</w:t>
      </w:r>
      <w:proofErr w:type="spellStart"/>
      <w:r w:rsidRPr="004953BE">
        <w:rPr>
          <w:sz w:val="28"/>
          <w:szCs w:val="28"/>
          <w:lang w:eastAsia="ar-SA"/>
        </w:rPr>
        <w:t>Гуала</w:t>
      </w:r>
      <w:proofErr w:type="spellEnd"/>
      <w:r w:rsidRPr="004953BE">
        <w:rPr>
          <w:sz w:val="28"/>
          <w:szCs w:val="28"/>
          <w:lang w:eastAsia="ar-SA"/>
        </w:rPr>
        <w:t xml:space="preserve"> - </w:t>
      </w:r>
      <w:proofErr w:type="spellStart"/>
      <w:r w:rsidRPr="004953BE">
        <w:rPr>
          <w:sz w:val="28"/>
          <w:szCs w:val="28"/>
          <w:lang w:eastAsia="ar-SA"/>
        </w:rPr>
        <w:t>Кложерс</w:t>
      </w:r>
      <w:proofErr w:type="spellEnd"/>
      <w:r w:rsidRPr="004953BE">
        <w:rPr>
          <w:sz w:val="28"/>
          <w:szCs w:val="28"/>
          <w:lang w:eastAsia="ar-SA"/>
        </w:rPr>
        <w:t xml:space="preserve"> Технологія Україна».</w:t>
      </w:r>
    </w:p>
    <w:p w:rsidR="004953BE" w:rsidRPr="004953BE" w:rsidRDefault="004953BE" w:rsidP="004953B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 xml:space="preserve">З початку року у приміщенні Сумського Бізнес </w:t>
      </w:r>
      <w:proofErr w:type="spellStart"/>
      <w:r w:rsidRPr="004953BE">
        <w:rPr>
          <w:sz w:val="28"/>
          <w:szCs w:val="28"/>
          <w:lang w:eastAsia="ar-SA"/>
        </w:rPr>
        <w:t>Хабу</w:t>
      </w:r>
      <w:proofErr w:type="spellEnd"/>
      <w:r w:rsidRPr="004953BE">
        <w:rPr>
          <w:sz w:val="28"/>
          <w:szCs w:val="28"/>
          <w:lang w:eastAsia="ar-SA"/>
        </w:rPr>
        <w:t>, створеного за участю Сумської міської ради, проведено 68 заходів, до яких було залучено 1245 суб’єктів господарювання зокрема: конференція компанії «</w:t>
      </w:r>
      <w:proofErr w:type="spellStart"/>
      <w:r w:rsidRPr="004953BE">
        <w:rPr>
          <w:sz w:val="28"/>
          <w:szCs w:val="28"/>
          <w:lang w:eastAsia="ar-SA"/>
        </w:rPr>
        <w:t>Amway</w:t>
      </w:r>
      <w:proofErr w:type="spellEnd"/>
      <w:r w:rsidRPr="004953BE">
        <w:rPr>
          <w:sz w:val="28"/>
          <w:szCs w:val="28"/>
          <w:lang w:eastAsia="ar-SA"/>
        </w:rPr>
        <w:t>»; тренінги компанії «</w:t>
      </w:r>
      <w:proofErr w:type="spellStart"/>
      <w:r w:rsidRPr="004953BE">
        <w:rPr>
          <w:sz w:val="28"/>
          <w:szCs w:val="28"/>
          <w:lang w:eastAsia="ar-SA"/>
        </w:rPr>
        <w:t>Glovo</w:t>
      </w:r>
      <w:proofErr w:type="spellEnd"/>
      <w:r w:rsidRPr="004953BE">
        <w:rPr>
          <w:sz w:val="28"/>
          <w:szCs w:val="28"/>
          <w:lang w:eastAsia="ar-SA"/>
        </w:rPr>
        <w:t xml:space="preserve">»; засідання «Клубу Ділових Людей»; семінари менеджерів </w:t>
      </w:r>
      <w:proofErr w:type="spellStart"/>
      <w:r w:rsidRPr="004953BE">
        <w:rPr>
          <w:sz w:val="28"/>
          <w:szCs w:val="28"/>
          <w:lang w:eastAsia="ar-SA"/>
        </w:rPr>
        <w:t>б'юті</w:t>
      </w:r>
      <w:proofErr w:type="spellEnd"/>
      <w:r w:rsidRPr="004953BE">
        <w:rPr>
          <w:sz w:val="28"/>
          <w:szCs w:val="28"/>
          <w:lang w:eastAsia="ar-SA"/>
        </w:rPr>
        <w:t xml:space="preserve">-індустрії; робочі зустрічі менеджерів магазинів одягу; нарада Сумського осередку АФНУ (ріелтори); нарада Ощадбанку; 6 нарад промисловців міста; </w:t>
      </w:r>
      <w:r w:rsidR="00A15AB5">
        <w:rPr>
          <w:sz w:val="28"/>
          <w:szCs w:val="28"/>
          <w:lang w:eastAsia="ar-SA"/>
        </w:rPr>
        <w:t xml:space="preserve">        </w:t>
      </w:r>
      <w:r w:rsidRPr="004953BE">
        <w:rPr>
          <w:sz w:val="28"/>
          <w:szCs w:val="28"/>
          <w:lang w:eastAsia="ar-SA"/>
        </w:rPr>
        <w:t xml:space="preserve">7 нарад з підприємцями; 3 робочі зустрічі створеного Машинобудівного кластеру; збори ради підприємців; наради підприємців з економічного розвитку регіону та з відновлення економіки; наради представників торгівельних мереж; наради експертів по економічній стратегії та енергоефективності області; обговорення </w:t>
      </w:r>
      <w:proofErr w:type="spellStart"/>
      <w:r w:rsidRPr="004953BE">
        <w:rPr>
          <w:sz w:val="28"/>
          <w:szCs w:val="28"/>
          <w:lang w:eastAsia="ar-SA"/>
        </w:rPr>
        <w:t>інвест</w:t>
      </w:r>
      <w:proofErr w:type="spellEnd"/>
      <w:r w:rsidRPr="004953BE">
        <w:rPr>
          <w:sz w:val="28"/>
          <w:szCs w:val="28"/>
          <w:lang w:eastAsia="ar-SA"/>
        </w:rPr>
        <w:t xml:space="preserve">-програми </w:t>
      </w:r>
      <w:proofErr w:type="spellStart"/>
      <w:r w:rsidRPr="004953BE">
        <w:rPr>
          <w:sz w:val="28"/>
          <w:szCs w:val="28"/>
          <w:lang w:eastAsia="ar-SA"/>
        </w:rPr>
        <w:t>Сумиобленерго</w:t>
      </w:r>
      <w:proofErr w:type="spellEnd"/>
      <w:r w:rsidRPr="004953BE">
        <w:rPr>
          <w:sz w:val="28"/>
          <w:szCs w:val="28"/>
          <w:lang w:eastAsia="ar-SA"/>
        </w:rPr>
        <w:t xml:space="preserve">; робоча зустріч щодо діяльності </w:t>
      </w:r>
      <w:r w:rsidRPr="004953BE">
        <w:rPr>
          <w:sz w:val="28"/>
          <w:szCs w:val="28"/>
          <w:lang w:eastAsia="ar-SA"/>
        </w:rPr>
        <w:lastRenderedPageBreak/>
        <w:t xml:space="preserve">індустріальних парків області; зустріч з підприємцями з питань компенсації пошкоджень; наради щодо підтримки місцевого бізнесу, бізнесу з податківцями, з керівниками промислових підприємств; відбір сумських </w:t>
      </w:r>
      <w:proofErr w:type="spellStart"/>
      <w:r w:rsidRPr="004953BE">
        <w:rPr>
          <w:sz w:val="28"/>
          <w:szCs w:val="28"/>
          <w:lang w:eastAsia="ar-SA"/>
        </w:rPr>
        <w:t>проєктів</w:t>
      </w:r>
      <w:proofErr w:type="spellEnd"/>
      <w:r w:rsidRPr="004953BE">
        <w:rPr>
          <w:sz w:val="28"/>
          <w:szCs w:val="28"/>
          <w:lang w:eastAsia="ar-SA"/>
        </w:rPr>
        <w:t xml:space="preserve"> за програмою відновлення України; 11 навчань бізнесу за </w:t>
      </w:r>
      <w:proofErr w:type="spellStart"/>
      <w:r w:rsidRPr="004953BE">
        <w:rPr>
          <w:sz w:val="28"/>
          <w:szCs w:val="28"/>
          <w:lang w:eastAsia="ar-SA"/>
        </w:rPr>
        <w:t>проєктом</w:t>
      </w:r>
      <w:proofErr w:type="spellEnd"/>
      <w:r w:rsidRPr="004953BE">
        <w:rPr>
          <w:sz w:val="28"/>
          <w:szCs w:val="28"/>
          <w:lang w:eastAsia="ar-SA"/>
        </w:rPr>
        <w:t xml:space="preserve"> SURE; нарада з підприємцями з питань використання електроенергії на промислових підприємствах; 4 засідання клубу ділових людей; круглий стіл «Експортне фінансування: доступні можливості та перспективи розвитку». Протягом 2022 року суб'єктам господарювання доводилась інформація про можливість участі у 24 заходах (бізнес-форуми, семінари, конференції в тому числі, в онлайн форматі). </w:t>
      </w:r>
    </w:p>
    <w:p w:rsidR="004953BE" w:rsidRPr="004953BE" w:rsidRDefault="004953BE" w:rsidP="004953BE">
      <w:pPr>
        <w:ind w:firstLine="709"/>
        <w:jc w:val="both"/>
        <w:rPr>
          <w:sz w:val="28"/>
          <w:szCs w:val="28"/>
        </w:rPr>
      </w:pPr>
      <w:r w:rsidRPr="004953BE">
        <w:rPr>
          <w:sz w:val="28"/>
          <w:szCs w:val="28"/>
        </w:rPr>
        <w:t xml:space="preserve">Відповідно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 протягом 2022 року організовано впорядкування розміщення </w:t>
      </w:r>
      <w:r w:rsidRPr="004953BE">
        <w:rPr>
          <w:rFonts w:eastAsia="Calibri"/>
          <w:sz w:val="28"/>
          <w:szCs w:val="28"/>
          <w:lang w:eastAsia="en-US"/>
        </w:rPr>
        <w:t xml:space="preserve">торговельних точок з: продажу </w:t>
      </w:r>
      <w:r w:rsidRPr="004953BE">
        <w:rPr>
          <w:color w:val="000000"/>
          <w:sz w:val="28"/>
          <w:szCs w:val="28"/>
        </w:rPr>
        <w:t xml:space="preserve">кави – 51, морозива – 2, овочів – 2, ялинок живих - 3;  розміщення дитячих атракціонів – 2, </w:t>
      </w:r>
      <w:r w:rsidRPr="004953BE">
        <w:rPr>
          <w:sz w:val="28"/>
          <w:szCs w:val="28"/>
        </w:rPr>
        <w:t xml:space="preserve">елементів об’єктів сезонної торгівлі біля стаціонарних закладів ресторанного господарства – 8, елементів об’єктів сезонної торгівлі у зоні масового відпочинку – 2, майданчиків для аматорських занять фізичною культурою в зоні відпочинку – 2.  </w:t>
      </w:r>
    </w:p>
    <w:p w:rsidR="004953BE" w:rsidRPr="004953BE" w:rsidRDefault="004953BE" w:rsidP="004953B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>З 25 серпня та з 27 вересня 2022 року департаментом був оголошений конкурс на надання фінансової підтримки суб’єктам малого і середнього підприємництва з бюджету Сумської МТГ відповідно до Порядку надання фінансової підтримки суб’єктам малого і середнього підприємництва з бюджет</w:t>
      </w:r>
      <w:r w:rsidR="003702EE">
        <w:rPr>
          <w:sz w:val="28"/>
          <w:szCs w:val="28"/>
          <w:lang w:eastAsia="ar-SA"/>
        </w:rPr>
        <w:t>у</w:t>
      </w:r>
      <w:r w:rsidRPr="004953BE">
        <w:rPr>
          <w:sz w:val="28"/>
          <w:szCs w:val="28"/>
          <w:lang w:eastAsia="ar-SA"/>
        </w:rPr>
        <w:t xml:space="preserve"> Сумської МТГ, затвердженого рішенням Сумської міської ради від 18 грудня 2019 року № 6109-МР. Нажаль, жодної заяви Департаментом не отримано.</w:t>
      </w:r>
    </w:p>
    <w:p w:rsidR="004953BE" w:rsidRPr="004953BE" w:rsidRDefault="004953BE" w:rsidP="004953B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 xml:space="preserve">Також, на виконання заходу цільової Програми підтримки малого і середнього підприємництва Сумської міської територіальної громади на </w:t>
      </w:r>
      <w:r w:rsidR="00385C2F">
        <w:rPr>
          <w:sz w:val="28"/>
          <w:szCs w:val="28"/>
          <w:lang w:eastAsia="ar-SA"/>
        </w:rPr>
        <w:t xml:space="preserve">        </w:t>
      </w:r>
      <w:r w:rsidRPr="004953BE">
        <w:rPr>
          <w:sz w:val="28"/>
          <w:szCs w:val="28"/>
          <w:lang w:eastAsia="ar-SA"/>
        </w:rPr>
        <w:t>2022-2024 роки, відповідно до рішення Сумської міської ради від 14</w:t>
      </w:r>
      <w:r w:rsidR="00385C2F">
        <w:rPr>
          <w:sz w:val="28"/>
          <w:szCs w:val="28"/>
          <w:lang w:eastAsia="ar-SA"/>
        </w:rPr>
        <w:t xml:space="preserve"> липня      2021 року</w:t>
      </w:r>
      <w:r w:rsidRPr="004953BE">
        <w:rPr>
          <w:sz w:val="28"/>
          <w:szCs w:val="28"/>
          <w:lang w:eastAsia="ar-SA"/>
        </w:rPr>
        <w:t xml:space="preserve"> № 1370-МР «Про затвердження Порядку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громади», яке передбачає компенсацію витрат зі сплати єдиного соціального внеску (ЄСВ) на загальнообов’язкове державне соціальне страхування за кожного нового найманого працівника, починаючи з місяця, в якому його було </w:t>
      </w:r>
      <w:proofErr w:type="spellStart"/>
      <w:r w:rsidRPr="004953BE">
        <w:rPr>
          <w:sz w:val="28"/>
          <w:szCs w:val="28"/>
          <w:lang w:eastAsia="ar-SA"/>
        </w:rPr>
        <w:t>працевлаштовано</w:t>
      </w:r>
      <w:proofErr w:type="spellEnd"/>
      <w:r w:rsidRPr="004953BE">
        <w:rPr>
          <w:sz w:val="28"/>
          <w:szCs w:val="28"/>
          <w:lang w:eastAsia="ar-SA"/>
        </w:rPr>
        <w:t>, був оголошений прийом департаментом відповідних заяв для отримання компенсації. Звернень щодо отримання  вказаної компенсації від суб’єктів господарювання не надходило.</w:t>
      </w:r>
    </w:p>
    <w:p w:rsidR="004953BE" w:rsidRPr="004953BE" w:rsidRDefault="004953BE" w:rsidP="004953B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>З метою підтримки бізнесу, департаментом підготовлено, а Сумською міською радою прийнято рішення від  14  липня  2022  року   № 3025 – МР «Про  внесення змін до рішенн</w:t>
      </w:r>
      <w:r w:rsidR="00D7735B">
        <w:rPr>
          <w:sz w:val="28"/>
          <w:szCs w:val="28"/>
          <w:lang w:eastAsia="ar-SA"/>
        </w:rPr>
        <w:t xml:space="preserve">я Сумської міської ради від 24 </w:t>
      </w:r>
      <w:r w:rsidRPr="004953BE">
        <w:rPr>
          <w:sz w:val="28"/>
          <w:szCs w:val="28"/>
          <w:lang w:eastAsia="ar-SA"/>
        </w:rPr>
        <w:t xml:space="preserve">червня 2020 року                № 7000–МР «Про встановлення плати за землю» (зі змінами), яким тимчасово з 01.01.2023 року на період дії воєнного стану в Україні та протягом півроку після його припинення або скасування, встановлені на території Сумської міської територіальної громади  пільги зі сплати земельного податку, надані відповідно </w:t>
      </w:r>
      <w:r w:rsidRPr="004953BE">
        <w:rPr>
          <w:sz w:val="28"/>
          <w:szCs w:val="28"/>
          <w:lang w:eastAsia="ar-SA"/>
        </w:rPr>
        <w:lastRenderedPageBreak/>
        <w:t>до </w:t>
      </w:r>
      <w:hyperlink r:id="rId7" w:tgtFrame="_top" w:history="1">
        <w:r w:rsidRPr="004953BE">
          <w:rPr>
            <w:sz w:val="28"/>
            <w:szCs w:val="28"/>
            <w:lang w:eastAsia="ar-SA"/>
          </w:rPr>
          <w:t>пункту 284.1 статті 284 Податкового кодексу України</w:t>
        </w:r>
      </w:hyperlink>
      <w:r w:rsidRPr="004953BE">
        <w:rPr>
          <w:sz w:val="28"/>
          <w:szCs w:val="28"/>
          <w:lang w:eastAsia="ar-SA"/>
        </w:rPr>
        <w:t>. Також вказаним рішенням ставки земельного податку зменшені на 50%.</w:t>
      </w:r>
    </w:p>
    <w:p w:rsidR="004953BE" w:rsidRPr="004953BE" w:rsidRDefault="004953BE" w:rsidP="004953B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>У вересні 2022 року, з нагоди Дня підприємця, департаментом організовано проведення урочистої церемонії нагороджен</w:t>
      </w:r>
      <w:r w:rsidR="006E776E">
        <w:rPr>
          <w:sz w:val="28"/>
          <w:szCs w:val="28"/>
          <w:lang w:eastAsia="ar-SA"/>
        </w:rPr>
        <w:t>ня грамотою міського голови 22-о</w:t>
      </w:r>
      <w:r w:rsidRPr="004953BE">
        <w:rPr>
          <w:sz w:val="28"/>
          <w:szCs w:val="28"/>
          <w:lang w:eastAsia="ar-SA"/>
        </w:rPr>
        <w:t>х кращих представників бізнесу міста Суми.</w:t>
      </w:r>
    </w:p>
    <w:p w:rsidR="004953BE" w:rsidRPr="004953BE" w:rsidRDefault="004953BE" w:rsidP="004953B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53BE">
        <w:rPr>
          <w:sz w:val="28"/>
          <w:szCs w:val="28"/>
          <w:lang w:eastAsia="ar-SA"/>
        </w:rPr>
        <w:t>Питання стосовно надходжень до бюджету Сумської МТГ завжди знаходилось на контролі, постійно проводився аналіз суми надходжень. Зокрема</w:t>
      </w:r>
      <w:r w:rsidR="006E776E">
        <w:rPr>
          <w:sz w:val="28"/>
          <w:szCs w:val="28"/>
          <w:lang w:eastAsia="ar-SA"/>
        </w:rPr>
        <w:t xml:space="preserve">, сума надходжень </w:t>
      </w:r>
      <w:r w:rsidRPr="004953BE">
        <w:rPr>
          <w:sz w:val="28"/>
          <w:szCs w:val="28"/>
          <w:lang w:eastAsia="ar-SA"/>
        </w:rPr>
        <w:t xml:space="preserve"> від сплати єдиного податку станом на 01.01.2023 склала </w:t>
      </w:r>
      <w:r w:rsidR="006E776E">
        <w:rPr>
          <w:sz w:val="28"/>
          <w:szCs w:val="28"/>
          <w:lang w:eastAsia="ar-SA"/>
        </w:rPr>
        <w:t xml:space="preserve">     </w:t>
      </w:r>
      <w:r w:rsidRPr="004953BE">
        <w:rPr>
          <w:sz w:val="28"/>
          <w:szCs w:val="28"/>
          <w:lang w:eastAsia="ar-SA"/>
        </w:rPr>
        <w:t xml:space="preserve">314,8 млн. грн, що становить 87,2% від затвердженої на 2022 рік суми та перевищує надходження за 2021 рік на 1,3 млн. грн. З загальної суми єдиного податку сплачено: юридичними особами – 68,0 млн. грн, </w:t>
      </w:r>
      <w:proofErr w:type="spellStart"/>
      <w:r w:rsidRPr="004953BE">
        <w:rPr>
          <w:sz w:val="28"/>
          <w:szCs w:val="28"/>
          <w:lang w:eastAsia="ar-SA"/>
        </w:rPr>
        <w:t>ФОПами</w:t>
      </w:r>
      <w:proofErr w:type="spellEnd"/>
      <w:r w:rsidRPr="004953BE">
        <w:rPr>
          <w:sz w:val="28"/>
          <w:szCs w:val="28"/>
          <w:lang w:eastAsia="ar-SA"/>
        </w:rPr>
        <w:t xml:space="preserve"> - 245,2 млн. грн, сільськогосподарськими товаровиробниками – 1,6 млн. грн.</w:t>
      </w:r>
    </w:p>
    <w:p w:rsidR="00534FBA" w:rsidRDefault="004953BE" w:rsidP="009367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3BE">
        <w:rPr>
          <w:sz w:val="28"/>
          <w:szCs w:val="28"/>
          <w:lang w:eastAsia="ar-SA"/>
        </w:rPr>
        <w:t>За даними Головного управління ДПС у Сумській області станом на 01.01.2023 кількість зареєстрованих основних платників податків по м. Суми, які здійснюють діяльність, складає 27 553 суб’єктів, з них: ю</w:t>
      </w:r>
      <w:r w:rsidR="00936728">
        <w:rPr>
          <w:sz w:val="28"/>
          <w:szCs w:val="28"/>
          <w:lang w:eastAsia="ar-SA"/>
        </w:rPr>
        <w:t xml:space="preserve">ридичних осіб – 11 404 проти 11 </w:t>
      </w:r>
      <w:r w:rsidRPr="004953BE">
        <w:rPr>
          <w:sz w:val="28"/>
          <w:szCs w:val="28"/>
          <w:lang w:eastAsia="ar-SA"/>
        </w:rPr>
        <w:t>206 станом на 01.01.2022 (збільшення на 198 осіб); фізичних осіб-підприємців  – 16 117  проти 16 395 станом на 01.01.2022 (зменшення на 278 осіб).</w:t>
      </w:r>
    </w:p>
    <w:p w:rsidR="004953BE" w:rsidRDefault="004953BE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4953BE" w:rsidRDefault="004953BE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4953BE" w:rsidRDefault="004953BE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7557EF" w:rsidRPr="00B35430" w:rsidRDefault="007557EF" w:rsidP="007557EF">
      <w:pPr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Сумський міський голова                                              </w:t>
      </w:r>
      <w:r w:rsidR="00385C2F">
        <w:rPr>
          <w:rFonts w:eastAsia="Calibri"/>
          <w:sz w:val="28"/>
          <w:szCs w:val="28"/>
          <w:lang w:eastAsia="en-US"/>
        </w:rPr>
        <w:t xml:space="preserve">     Олександр ЛИСЕНКО</w:t>
      </w:r>
    </w:p>
    <w:p w:rsidR="006A57BF" w:rsidRDefault="006A57BF" w:rsidP="002A0FBA">
      <w:pPr>
        <w:ind w:firstLine="567"/>
        <w:jc w:val="both"/>
        <w:rPr>
          <w:rFonts w:cs="Calibri"/>
          <w:sz w:val="28"/>
          <w:szCs w:val="28"/>
        </w:rPr>
      </w:pPr>
    </w:p>
    <w:p w:rsidR="00316154" w:rsidRDefault="00316154" w:rsidP="002A0FBA">
      <w:pPr>
        <w:ind w:firstLine="567"/>
        <w:jc w:val="both"/>
        <w:rPr>
          <w:rFonts w:cs="Calibri"/>
          <w:sz w:val="28"/>
          <w:szCs w:val="28"/>
        </w:rPr>
      </w:pPr>
    </w:p>
    <w:p w:rsidR="001C33BB" w:rsidRPr="007C5265" w:rsidRDefault="001C33BB" w:rsidP="001C33BB">
      <w:pPr>
        <w:contextualSpacing/>
        <w:rPr>
          <w:sz w:val="22"/>
          <w:szCs w:val="22"/>
        </w:rPr>
      </w:pPr>
      <w:r w:rsidRPr="007C5265">
        <w:rPr>
          <w:sz w:val="22"/>
          <w:szCs w:val="22"/>
        </w:rPr>
        <w:t xml:space="preserve">Виконавець: </w:t>
      </w:r>
      <w:r w:rsidR="00316154">
        <w:rPr>
          <w:sz w:val="22"/>
          <w:szCs w:val="22"/>
        </w:rPr>
        <w:t>ЗЕЛЕНСЬКИЙ Максим</w:t>
      </w:r>
      <w:bookmarkStart w:id="0" w:name="_GoBack"/>
      <w:bookmarkEnd w:id="0"/>
    </w:p>
    <w:p w:rsidR="001C33BB" w:rsidRPr="004953BE" w:rsidRDefault="001C33BB" w:rsidP="001C33BB">
      <w:pPr>
        <w:ind w:right="174"/>
        <w:contextualSpacing/>
        <w:jc w:val="both"/>
        <w:rPr>
          <w:sz w:val="22"/>
          <w:szCs w:val="22"/>
          <w:lang w:val="ru-RU"/>
        </w:rPr>
      </w:pPr>
      <w:r w:rsidRPr="007C5265">
        <w:rPr>
          <w:sz w:val="22"/>
          <w:szCs w:val="22"/>
        </w:rPr>
        <w:t xml:space="preserve">          </w:t>
      </w:r>
    </w:p>
    <w:p w:rsidR="001C33BB" w:rsidRDefault="001C33BB" w:rsidP="001C33BB">
      <w:pPr>
        <w:ind w:right="174"/>
        <w:contextualSpacing/>
        <w:jc w:val="both"/>
        <w:rPr>
          <w:sz w:val="22"/>
          <w:szCs w:val="22"/>
        </w:rPr>
      </w:pPr>
      <w:r w:rsidRPr="004953BE">
        <w:rPr>
          <w:sz w:val="22"/>
          <w:szCs w:val="22"/>
          <w:lang w:val="ru-RU"/>
        </w:rPr>
        <w:t xml:space="preserve"> </w:t>
      </w:r>
      <w:r w:rsidRPr="007C5265">
        <w:rPr>
          <w:sz w:val="22"/>
          <w:szCs w:val="22"/>
        </w:rPr>
        <w:t>_______________</w:t>
      </w:r>
    </w:p>
    <w:p w:rsidR="00AF05AD" w:rsidRDefault="00AF05AD" w:rsidP="001C33BB">
      <w:pPr>
        <w:ind w:right="174"/>
        <w:contextualSpacing/>
        <w:jc w:val="both"/>
        <w:rPr>
          <w:sz w:val="22"/>
          <w:szCs w:val="22"/>
        </w:rPr>
      </w:pPr>
    </w:p>
    <w:p w:rsidR="00AF05AD" w:rsidRDefault="00AF05AD" w:rsidP="001C33BB">
      <w:pPr>
        <w:ind w:right="174"/>
        <w:contextualSpacing/>
        <w:jc w:val="both"/>
        <w:rPr>
          <w:sz w:val="22"/>
          <w:szCs w:val="22"/>
        </w:rPr>
      </w:pPr>
    </w:p>
    <w:p w:rsidR="00AF05AD" w:rsidRDefault="00AF05AD" w:rsidP="001C33BB">
      <w:pPr>
        <w:ind w:right="174"/>
        <w:contextualSpacing/>
        <w:jc w:val="both"/>
        <w:rPr>
          <w:sz w:val="22"/>
          <w:szCs w:val="22"/>
        </w:rPr>
      </w:pPr>
    </w:p>
    <w:p w:rsidR="00AF05AD" w:rsidRDefault="00AF05AD" w:rsidP="001C33BB">
      <w:pPr>
        <w:ind w:right="174"/>
        <w:contextualSpacing/>
        <w:jc w:val="both"/>
        <w:rPr>
          <w:sz w:val="22"/>
          <w:szCs w:val="22"/>
        </w:rPr>
      </w:pPr>
    </w:p>
    <w:sectPr w:rsidR="00AF05AD" w:rsidSect="00534FB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6843"/>
    <w:multiLevelType w:val="hybridMultilevel"/>
    <w:tmpl w:val="36DAD14E"/>
    <w:lvl w:ilvl="0" w:tplc="C0CCCB0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451363"/>
    <w:multiLevelType w:val="multilevel"/>
    <w:tmpl w:val="0268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3"/>
    <w:rsid w:val="00011AEC"/>
    <w:rsid w:val="0001718F"/>
    <w:rsid w:val="00031A3B"/>
    <w:rsid w:val="000427C9"/>
    <w:rsid w:val="0007058E"/>
    <w:rsid w:val="00074D67"/>
    <w:rsid w:val="00081135"/>
    <w:rsid w:val="000A503A"/>
    <w:rsid w:val="000B62C0"/>
    <w:rsid w:val="000C07AF"/>
    <w:rsid w:val="000D3FFE"/>
    <w:rsid w:val="000F1DC7"/>
    <w:rsid w:val="000F32D3"/>
    <w:rsid w:val="000F507E"/>
    <w:rsid w:val="001172C2"/>
    <w:rsid w:val="001431A0"/>
    <w:rsid w:val="00154A9D"/>
    <w:rsid w:val="00176507"/>
    <w:rsid w:val="001803A4"/>
    <w:rsid w:val="00181C4E"/>
    <w:rsid w:val="0019198C"/>
    <w:rsid w:val="001B18C4"/>
    <w:rsid w:val="001B2249"/>
    <w:rsid w:val="001B68FF"/>
    <w:rsid w:val="001C33BB"/>
    <w:rsid w:val="001C6F9D"/>
    <w:rsid w:val="001D73B2"/>
    <w:rsid w:val="001E49E0"/>
    <w:rsid w:val="001F04DE"/>
    <w:rsid w:val="001F6D7C"/>
    <w:rsid w:val="0021180F"/>
    <w:rsid w:val="00212469"/>
    <w:rsid w:val="00213248"/>
    <w:rsid w:val="002260FA"/>
    <w:rsid w:val="00252385"/>
    <w:rsid w:val="00282F25"/>
    <w:rsid w:val="00285C08"/>
    <w:rsid w:val="002A0FBA"/>
    <w:rsid w:val="002A66F6"/>
    <w:rsid w:val="002C0CD9"/>
    <w:rsid w:val="002F7D02"/>
    <w:rsid w:val="003009EB"/>
    <w:rsid w:val="003106BE"/>
    <w:rsid w:val="00316154"/>
    <w:rsid w:val="00320E7E"/>
    <w:rsid w:val="00321F8F"/>
    <w:rsid w:val="003322E5"/>
    <w:rsid w:val="00340130"/>
    <w:rsid w:val="003447A3"/>
    <w:rsid w:val="00345C9E"/>
    <w:rsid w:val="003702EE"/>
    <w:rsid w:val="00385C2F"/>
    <w:rsid w:val="00392ED9"/>
    <w:rsid w:val="00394158"/>
    <w:rsid w:val="003C4CD6"/>
    <w:rsid w:val="003C6873"/>
    <w:rsid w:val="004149AA"/>
    <w:rsid w:val="00442DF8"/>
    <w:rsid w:val="00463F7B"/>
    <w:rsid w:val="00490158"/>
    <w:rsid w:val="004953BE"/>
    <w:rsid w:val="004967BF"/>
    <w:rsid w:val="00521073"/>
    <w:rsid w:val="00522DFC"/>
    <w:rsid w:val="0052463E"/>
    <w:rsid w:val="00532FC7"/>
    <w:rsid w:val="00534FBA"/>
    <w:rsid w:val="00545B8F"/>
    <w:rsid w:val="005465A9"/>
    <w:rsid w:val="00551DA4"/>
    <w:rsid w:val="0057108B"/>
    <w:rsid w:val="00582702"/>
    <w:rsid w:val="005A0F59"/>
    <w:rsid w:val="005A6496"/>
    <w:rsid w:val="005B3454"/>
    <w:rsid w:val="005C02AB"/>
    <w:rsid w:val="005D4198"/>
    <w:rsid w:val="00604E1A"/>
    <w:rsid w:val="00615892"/>
    <w:rsid w:val="006235B3"/>
    <w:rsid w:val="00685852"/>
    <w:rsid w:val="00687026"/>
    <w:rsid w:val="006A57BF"/>
    <w:rsid w:val="006C4018"/>
    <w:rsid w:val="006D0A34"/>
    <w:rsid w:val="006D22F0"/>
    <w:rsid w:val="006E776E"/>
    <w:rsid w:val="006E77E2"/>
    <w:rsid w:val="00731369"/>
    <w:rsid w:val="007369FA"/>
    <w:rsid w:val="00741FB5"/>
    <w:rsid w:val="007557EF"/>
    <w:rsid w:val="0078760C"/>
    <w:rsid w:val="00797812"/>
    <w:rsid w:val="007B49B1"/>
    <w:rsid w:val="007B4BC6"/>
    <w:rsid w:val="007C3EAA"/>
    <w:rsid w:val="007C5265"/>
    <w:rsid w:val="007C5419"/>
    <w:rsid w:val="007E59B8"/>
    <w:rsid w:val="007F5FA8"/>
    <w:rsid w:val="00806587"/>
    <w:rsid w:val="00821997"/>
    <w:rsid w:val="00882F90"/>
    <w:rsid w:val="00892642"/>
    <w:rsid w:val="00894044"/>
    <w:rsid w:val="008B6096"/>
    <w:rsid w:val="008C5039"/>
    <w:rsid w:val="00922566"/>
    <w:rsid w:val="00936728"/>
    <w:rsid w:val="009378EE"/>
    <w:rsid w:val="00941E07"/>
    <w:rsid w:val="009426D0"/>
    <w:rsid w:val="0095474F"/>
    <w:rsid w:val="00957177"/>
    <w:rsid w:val="00960DAF"/>
    <w:rsid w:val="00961AA2"/>
    <w:rsid w:val="00967B28"/>
    <w:rsid w:val="00973355"/>
    <w:rsid w:val="00974963"/>
    <w:rsid w:val="009863EC"/>
    <w:rsid w:val="00992510"/>
    <w:rsid w:val="009C43FA"/>
    <w:rsid w:val="009D549E"/>
    <w:rsid w:val="009F0FCB"/>
    <w:rsid w:val="00A015F5"/>
    <w:rsid w:val="00A15AB5"/>
    <w:rsid w:val="00A24159"/>
    <w:rsid w:val="00A629E8"/>
    <w:rsid w:val="00A96ED1"/>
    <w:rsid w:val="00AA08D9"/>
    <w:rsid w:val="00AA0D51"/>
    <w:rsid w:val="00AD0047"/>
    <w:rsid w:val="00AE39AF"/>
    <w:rsid w:val="00AF05AD"/>
    <w:rsid w:val="00B1452C"/>
    <w:rsid w:val="00B31FBD"/>
    <w:rsid w:val="00B35430"/>
    <w:rsid w:val="00B458F2"/>
    <w:rsid w:val="00B652D2"/>
    <w:rsid w:val="00B772E5"/>
    <w:rsid w:val="00B9447A"/>
    <w:rsid w:val="00BA16DD"/>
    <w:rsid w:val="00BB1C7E"/>
    <w:rsid w:val="00BB4BF1"/>
    <w:rsid w:val="00BC329E"/>
    <w:rsid w:val="00C04D75"/>
    <w:rsid w:val="00C06E9D"/>
    <w:rsid w:val="00C34EE5"/>
    <w:rsid w:val="00C74DDD"/>
    <w:rsid w:val="00C776FB"/>
    <w:rsid w:val="00CC1A5F"/>
    <w:rsid w:val="00CD6E44"/>
    <w:rsid w:val="00CE28A2"/>
    <w:rsid w:val="00D00A46"/>
    <w:rsid w:val="00D16D5B"/>
    <w:rsid w:val="00D16EF2"/>
    <w:rsid w:val="00D261D3"/>
    <w:rsid w:val="00D27E69"/>
    <w:rsid w:val="00D75D95"/>
    <w:rsid w:val="00D76483"/>
    <w:rsid w:val="00D7735B"/>
    <w:rsid w:val="00D837FE"/>
    <w:rsid w:val="00D932E6"/>
    <w:rsid w:val="00DB5432"/>
    <w:rsid w:val="00DE1768"/>
    <w:rsid w:val="00DE5C49"/>
    <w:rsid w:val="00DF440F"/>
    <w:rsid w:val="00E24B48"/>
    <w:rsid w:val="00E277DA"/>
    <w:rsid w:val="00E3031F"/>
    <w:rsid w:val="00E47A2E"/>
    <w:rsid w:val="00E7406C"/>
    <w:rsid w:val="00E74E76"/>
    <w:rsid w:val="00E84F20"/>
    <w:rsid w:val="00E87B79"/>
    <w:rsid w:val="00E921E7"/>
    <w:rsid w:val="00E925AE"/>
    <w:rsid w:val="00E938E5"/>
    <w:rsid w:val="00EA52B0"/>
    <w:rsid w:val="00EB0035"/>
    <w:rsid w:val="00EB2987"/>
    <w:rsid w:val="00EC1CF8"/>
    <w:rsid w:val="00ED0A3A"/>
    <w:rsid w:val="00ED1344"/>
    <w:rsid w:val="00ED6B23"/>
    <w:rsid w:val="00ED7AF7"/>
    <w:rsid w:val="00F061E1"/>
    <w:rsid w:val="00F166ED"/>
    <w:rsid w:val="00F25867"/>
    <w:rsid w:val="00F34A63"/>
    <w:rsid w:val="00F474E0"/>
    <w:rsid w:val="00F50508"/>
    <w:rsid w:val="00F61B55"/>
    <w:rsid w:val="00F669B9"/>
    <w:rsid w:val="00F74814"/>
    <w:rsid w:val="00F927D1"/>
    <w:rsid w:val="00FD2FF0"/>
    <w:rsid w:val="00FE768A"/>
    <w:rsid w:val="00FF3CEA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40B"/>
  <w15:chartTrackingRefBased/>
  <w15:docId w15:val="{7676DA6B-02A4-4B1A-AB3A-241296BF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5432"/>
    <w:rPr>
      <w:color w:val="0563C1" w:themeColor="hyperlink"/>
      <w:u w:val="single"/>
    </w:rPr>
  </w:style>
  <w:style w:type="table" w:styleId="a4">
    <w:name w:val="Table Grid"/>
    <w:basedOn w:val="a1"/>
    <w:rsid w:val="00DB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3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Знак Знак Знак Знак1"/>
    <w:basedOn w:val="a"/>
    <w:rsid w:val="0021246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0_27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r.gov.ua/images/documents/Rishennia/Sesii/2020/23.09.2020/No_7380-MR_Pro_vstanovlenna_orendnoi_plati_TOV_Kinoteatr_Druzb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65DE-1ECE-4088-95BA-DA101F5F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Мандрика Вікторія Анатоліївна</cp:lastModifiedBy>
  <cp:revision>43</cp:revision>
  <cp:lastPrinted>2023-01-27T13:10:00Z</cp:lastPrinted>
  <dcterms:created xsi:type="dcterms:W3CDTF">2019-08-13T13:42:00Z</dcterms:created>
  <dcterms:modified xsi:type="dcterms:W3CDTF">2023-02-15T06:42:00Z</dcterms:modified>
</cp:coreProperties>
</file>