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408F93AF" w:rsidR="009A1137" w:rsidRPr="002967EE" w:rsidRDefault="009A1137" w:rsidP="006C7CD3">
      <w:pPr>
        <w:ind w:right="-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17"/>
      </w:tblGrid>
      <w:tr w:rsidR="002967EE" w:rsidRPr="002967EE" w14:paraId="06BCC84A" w14:textId="77777777" w:rsidTr="003C6B4C">
        <w:tc>
          <w:tcPr>
            <w:tcW w:w="4536" w:type="dxa"/>
          </w:tcPr>
          <w:p w14:paraId="29B2C9BB" w14:textId="5F218221" w:rsidR="002967EE" w:rsidRPr="002967EE" w:rsidRDefault="002967EE" w:rsidP="002967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96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 </w:t>
            </w:r>
          </w:p>
          <w:p w14:paraId="4AF1DD3E" w14:textId="77777777" w:rsidR="002967EE" w:rsidRDefault="002967EE" w:rsidP="002967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96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Сумської міської ради</w:t>
            </w:r>
          </w:p>
          <w:p w14:paraId="5E061E30" w14:textId="25BB2E09" w:rsidR="002967EE" w:rsidRPr="002967EE" w:rsidRDefault="002967EE" w:rsidP="002967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«</w:t>
            </w:r>
            <w:r w:rsidRPr="009A5D3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 хід виконання рішення Сумської міської ради від 29 вересня 2021 року №1602-МР  «Про затвердження  Програми  молодіжного житлового кредитування            Сумської міської  територіальної громади на 2022-2024 роки, та Порядку надання пільгового довгострокового кредиту на будівництво (реконструкцію) житла за рахунок бюджету  Сумської міської  територіальної громади»   (зі змінами), за підсумками 2023 року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</w:t>
            </w:r>
          </w:p>
          <w:p w14:paraId="3BC16E99" w14:textId="77777777" w:rsidR="002967EE" w:rsidRPr="002967EE" w:rsidRDefault="002967EE" w:rsidP="002967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96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                    №</w:t>
            </w:r>
          </w:p>
        </w:tc>
      </w:tr>
    </w:tbl>
    <w:p w14:paraId="135C7728" w14:textId="77777777" w:rsidR="002967EE" w:rsidRPr="002967EE" w:rsidRDefault="002967EE" w:rsidP="002967E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C67716B" w14:textId="77777777" w:rsidR="002967EE" w:rsidRDefault="002967EE">
      <w:pPr>
        <w:ind w:right="-60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76C7C5" w14:textId="77777777" w:rsidR="002967EE" w:rsidRPr="006C7CD3" w:rsidRDefault="002967EE">
      <w:pPr>
        <w:ind w:right="-60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6" w14:textId="03E886D8" w:rsidR="009A1137" w:rsidRPr="00FA202E" w:rsidRDefault="0002707B">
      <w:pPr>
        <w:ind w:left="141"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 до звіту про хід</w:t>
      </w:r>
      <w:r w:rsidR="002967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виконання програми</w:t>
      </w:r>
      <w:r w:rsidR="00A907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молодіжного житлового кредитування Сумської міської територіальної громади на 2022-2024 роки</w:t>
      </w:r>
    </w:p>
    <w:p w14:paraId="6AB94E55" w14:textId="77777777" w:rsidR="006C7CD3" w:rsidRPr="006C7CD3" w:rsidRDefault="006C7CD3">
      <w:pPr>
        <w:ind w:left="141"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BEA981" w14:textId="7A4601A0" w:rsidR="006C7CD3" w:rsidRPr="006C7CD3" w:rsidRDefault="006C7CD3" w:rsidP="006C7CD3">
      <w:pPr>
        <w:pStyle w:val="a5"/>
        <w:numPr>
          <w:ilvl w:val="0"/>
          <w:numId w:val="1"/>
        </w:numPr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дані.</w:t>
      </w:r>
    </w:p>
    <w:p w14:paraId="05750BD0" w14:textId="681244B9" w:rsidR="0036753D" w:rsidRDefault="0036753D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Програма</w:t>
      </w:r>
      <w:r w:rsidR="00A90799" w:rsidRPr="00A9079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моло</w:t>
      </w:r>
      <w:r w:rsidR="00FA202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діжного житлового кредитування </w:t>
      </w:r>
      <w:r w:rsidR="00A90799" w:rsidRPr="00A90799">
        <w:rPr>
          <w:rFonts w:ascii="Times New Roman" w:eastAsia="Times New Roman" w:hAnsi="Times New Roman" w:cs="Times New Roman"/>
          <w:sz w:val="28"/>
          <w:szCs w:val="24"/>
          <w:lang w:val="uk-UA"/>
        </w:rPr>
        <w:t>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громади»,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затверджена</w:t>
      </w:r>
      <w:r w:rsidR="00A90799" w:rsidRPr="00A90799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 xml:space="preserve"> </w:t>
      </w:r>
      <w:r w:rsidRPr="00367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Сумської міської ради від </w:t>
      </w:r>
      <w:r w:rsidRPr="00A90799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29 вересня 2021 року №1602-МР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.</w:t>
      </w:r>
    </w:p>
    <w:p w14:paraId="41DD0513" w14:textId="05C3A913" w:rsidR="0036753D" w:rsidRDefault="0036753D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Строк реалізації Програми - 3 роки.</w:t>
      </w:r>
    </w:p>
    <w:p w14:paraId="4C265CA6" w14:textId="27EFFE90" w:rsidR="0036753D" w:rsidRDefault="0036753D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Розробником та відповідальним виконавцем Програми є управління капітального будівництва та дорожнього господарства Сумської міської ради.</w:t>
      </w:r>
    </w:p>
    <w:p w14:paraId="592BB2E1" w14:textId="78D8FA74" w:rsidR="00A90799" w:rsidRDefault="0036753D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Співвиконавцем Програми є:</w:t>
      </w:r>
      <w:r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управління</w:t>
      </w:r>
      <w:r w:rsidR="00A90799" w:rsidRPr="00A9079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капітального будівництва та дорожнього господарства Сумської міської ради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Сумське регіональне управління</w:t>
      </w:r>
      <w:r w:rsidR="00A90799"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державної спеціалізованої фінансової установи «Державний фонд сприяння молодіжному житловому будівництву»</w:t>
      </w:r>
      <w:r w:rsidR="00A90799" w:rsidRPr="00A9079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14:paraId="370D2C07" w14:textId="43F7B41B" w:rsidR="0036753D" w:rsidRDefault="0036753D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Головний розпорядник бюджетних коштів: управління капітального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>будівництва та дорожнього господарства Сумської міської ради.</w:t>
      </w:r>
    </w:p>
    <w:p w14:paraId="41ACCBAA" w14:textId="77777777" w:rsidR="00A84BD8" w:rsidRDefault="00A84BD8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14:paraId="0F5ED400" w14:textId="7D5A8A9D" w:rsidR="0036753D" w:rsidRPr="0036753D" w:rsidRDefault="0036753D" w:rsidP="0036753D">
      <w:pPr>
        <w:pStyle w:val="a5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75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Узагальнена інформація щодо виконання завдань та заходів програми</w:t>
      </w:r>
    </w:p>
    <w:p w14:paraId="7C7A5559" w14:textId="77777777" w:rsidR="00A90799" w:rsidRPr="00A90799" w:rsidRDefault="00A90799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2023 року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Pr="00A9079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звернулося понад 42 особи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14:paraId="7C2941F2" w14:textId="77777777" w:rsidR="00A90799" w:rsidRPr="00A90799" w:rsidRDefault="00A90799" w:rsidP="00A9079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Бюджетом Сумської міської об’єднаної територіальної громади  на 2023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2662, 2 тис. гривень.</w:t>
      </w:r>
    </w:p>
    <w:p w14:paraId="55D3E29D" w14:textId="77777777" w:rsidR="00A90799" w:rsidRDefault="00A90799" w:rsidP="00A907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2023  складають у сумі 1786,0 тис. грн..</w:t>
      </w:r>
    </w:p>
    <w:p w14:paraId="79D61065" w14:textId="77777777" w:rsidR="00A84BD8" w:rsidRPr="00A90799" w:rsidRDefault="00A84BD8" w:rsidP="00A907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43FE123" w14:textId="274A2EBA" w:rsidR="00A84BD8" w:rsidRPr="00A84BD8" w:rsidRDefault="00A84BD8" w:rsidP="00A84BD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4B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Оцінка ефективності виконання програми</w:t>
      </w:r>
    </w:p>
    <w:p w14:paraId="4F48991D" w14:textId="77777777" w:rsidR="00A90799" w:rsidRPr="00A90799" w:rsidRDefault="00A90799" w:rsidP="00A907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бюджеті на 2023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130,7 тис. </w:t>
      </w:r>
      <w:proofErr w:type="spellStart"/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, фактичні видатки склали 104,5 тис. гривень.</w:t>
      </w:r>
    </w:p>
    <w:p w14:paraId="7C7F4DC5" w14:textId="63EF5A47" w:rsidR="00A90799" w:rsidRPr="00A90799" w:rsidRDefault="00A90799" w:rsidP="00A84BD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2023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2662,2 тис. гривень.</w:t>
      </w:r>
    </w:p>
    <w:p w14:paraId="3AD77747" w14:textId="77777777" w:rsidR="00A90799" w:rsidRPr="00A90799" w:rsidRDefault="00A90799" w:rsidP="00A90799">
      <w:pPr>
        <w:spacing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В 2023 році:</w:t>
      </w:r>
    </w:p>
    <w:p w14:paraId="7707AA3E" w14:textId="77777777" w:rsidR="00A90799" w:rsidRPr="00A90799" w:rsidRDefault="00A90799" w:rsidP="00A90799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 державного бюджету </w:t>
      </w:r>
      <w:proofErr w:type="spellStart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>профінансовано</w:t>
      </w:r>
      <w:proofErr w:type="spellEnd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9478,00 тис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молодіжне кредитування. </w:t>
      </w:r>
    </w:p>
    <w:p w14:paraId="7C1B095A" w14:textId="77777777" w:rsidR="00A90799" w:rsidRPr="00A90799" w:rsidRDefault="00A90799" w:rsidP="00A90799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 міського бюджету </w:t>
      </w:r>
      <w:proofErr w:type="spellStart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>профінансовано</w:t>
      </w:r>
      <w:proofErr w:type="spellEnd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1786,00 тис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14:paraId="3442B336" w14:textId="77777777" w:rsidR="00A90799" w:rsidRPr="00A90799" w:rsidRDefault="00A90799" w:rsidP="00A90799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 обласного бюджету </w:t>
      </w:r>
      <w:proofErr w:type="spellStart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>профінансовано</w:t>
      </w:r>
      <w:proofErr w:type="spellEnd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1813,6 тис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14:paraId="7DE1FFA5" w14:textId="77777777" w:rsidR="00A90799" w:rsidRPr="00A90799" w:rsidRDefault="00A90799" w:rsidP="00A90799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Кошти громадян склали 963,9 тис. грн., </w:t>
      </w:r>
    </w:p>
    <w:p w14:paraId="621965C2" w14:textId="77777777" w:rsidR="00A90799" w:rsidRDefault="00A90799" w:rsidP="00A90799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/>
        </w:rPr>
        <w:t>Змогли поліпшити свої житлові умови 12 сімей, в тому числі за рахунок коштів держбюджету – 9 сімей.</w:t>
      </w:r>
    </w:p>
    <w:p w14:paraId="4AA88CA0" w14:textId="77777777" w:rsidR="00A84BD8" w:rsidRDefault="00A84BD8" w:rsidP="00A90799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674549" w14:textId="217CF706" w:rsidR="00A84BD8" w:rsidRPr="00A84BD8" w:rsidRDefault="00A84BD8" w:rsidP="00A84BD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4B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 причин невиконання (низького рівня виконання) програми</w:t>
      </w:r>
    </w:p>
    <w:p w14:paraId="0361B765" w14:textId="77777777" w:rsidR="00A90799" w:rsidRPr="00A90799" w:rsidRDefault="00A90799" w:rsidP="00A90799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14:paraId="56C55117" w14:textId="77777777" w:rsidR="00A90799" w:rsidRPr="00A90799" w:rsidRDefault="00A90799" w:rsidP="00A90799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молоді.</w:t>
      </w:r>
    </w:p>
    <w:p w14:paraId="6AC4D06C" w14:textId="689030F5" w:rsidR="00A90799" w:rsidRDefault="00A90799" w:rsidP="00A90799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58F6F2A" w14:textId="77777777" w:rsidR="00A84BD8" w:rsidRDefault="00A84BD8" w:rsidP="00A90799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EB30C3B" w14:textId="10438325" w:rsidR="00FC419A" w:rsidRPr="00FC419A" w:rsidRDefault="00A84BD8" w:rsidP="00FC419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4B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Пропозиції щодо забезпечення подальшого виконання</w:t>
      </w:r>
    </w:p>
    <w:p w14:paraId="262CF0B3" w14:textId="3A661101" w:rsidR="008A53DF" w:rsidRDefault="008A53DF" w:rsidP="008A53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C41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Подальше</w:t>
      </w:r>
      <w:r w:rsidR="00C320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завдань та заходів Програ</w:t>
      </w:r>
      <w:r w:rsidR="00FC41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потребує забезпечення необхідного обсягу фінансування за рахунок коштів бюджету Сумської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 реалізацію Програми значний вплив чинять дія воєнного стану, та агресія російської федерації.</w:t>
      </w:r>
    </w:p>
    <w:p w14:paraId="1B7C9CBF" w14:textId="103C5D7B" w:rsidR="00A90799" w:rsidRPr="00A90799" w:rsidRDefault="008A53DF" w:rsidP="008A53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="00FC419A"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</w:t>
      </w:r>
      <w:r w:rsidR="00FC419A" w:rsidRPr="00A907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 на 2022-2024 роки </w:t>
      </w:r>
      <w:r w:rsidR="00FC419A"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буде продовжуватися і надалі.</w:t>
      </w:r>
    </w:p>
    <w:p w14:paraId="1696193D" w14:textId="77777777" w:rsidR="00A90799" w:rsidRPr="00A90799" w:rsidRDefault="00A90799" w:rsidP="00A907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7530870" w14:textId="77777777" w:rsidR="00A90799" w:rsidRPr="00A90799" w:rsidRDefault="00A90799" w:rsidP="00A907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7776AE8" w14:textId="53B23440" w:rsidR="00A90799" w:rsidRPr="00A90799" w:rsidRDefault="00A90799" w:rsidP="00A907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Сумської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ої ради                    </w:t>
      </w: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Артем КОБЗАР</w:t>
      </w:r>
    </w:p>
    <w:p w14:paraId="6B4D254A" w14:textId="77777777" w:rsidR="00A90799" w:rsidRDefault="00A90799" w:rsidP="00A907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8A23136" w14:textId="77777777" w:rsidR="000D3832" w:rsidRDefault="000D3832" w:rsidP="00A907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46AE6B" w14:textId="77777777" w:rsidR="000D3832" w:rsidRPr="00A90799" w:rsidRDefault="000D3832" w:rsidP="00A907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9C6E04" w14:textId="5E347805" w:rsidR="00A90799" w:rsidRPr="00A90799" w:rsidRDefault="00A90799" w:rsidP="00A907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Віталій Шилов______________</w:t>
      </w:r>
    </w:p>
    <w:p w14:paraId="00000014" w14:textId="77777777" w:rsidR="009A1137" w:rsidRDefault="009A1137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A1137" w:rsidRDefault="009A1137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9A1137" w:rsidRDefault="009A1137">
      <w:p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A1137" w:rsidRDefault="009A1137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9A1137" w:rsidRDefault="009A1137">
      <w:pPr>
        <w:ind w:left="141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A11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12F"/>
    <w:multiLevelType w:val="hybridMultilevel"/>
    <w:tmpl w:val="BDCE0236"/>
    <w:lvl w:ilvl="0" w:tplc="F9362A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1137"/>
    <w:rsid w:val="0002707B"/>
    <w:rsid w:val="000D3832"/>
    <w:rsid w:val="00194C7E"/>
    <w:rsid w:val="002967EE"/>
    <w:rsid w:val="0036753D"/>
    <w:rsid w:val="006C7CD3"/>
    <w:rsid w:val="008A53DF"/>
    <w:rsid w:val="009A1137"/>
    <w:rsid w:val="00A84BD8"/>
    <w:rsid w:val="00A90799"/>
    <w:rsid w:val="00C32009"/>
    <w:rsid w:val="00DC1430"/>
    <w:rsid w:val="00FA202E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C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C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2024-03-19T06:37:00Z</dcterms:created>
  <dcterms:modified xsi:type="dcterms:W3CDTF">2024-03-26T13:59:00Z</dcterms:modified>
</cp:coreProperties>
</file>