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123375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9C3D6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C3D62">
              <w:rPr>
                <w:sz w:val="28"/>
                <w:szCs w:val="28"/>
                <w:lang w:val="uk-UA"/>
              </w:rPr>
              <w:t>Яншину</w:t>
            </w:r>
            <w:proofErr w:type="spellEnd"/>
            <w:r w:rsidR="009C3D62">
              <w:rPr>
                <w:sz w:val="28"/>
                <w:szCs w:val="28"/>
                <w:lang w:val="uk-UA"/>
              </w:rPr>
              <w:t xml:space="preserve"> Миколі Анатолійовичу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23375">
              <w:rPr>
                <w:sz w:val="28"/>
                <w:szCs w:val="28"/>
                <w:lang w:val="uk-UA"/>
              </w:rPr>
              <w:t>: м. Суми,</w:t>
            </w:r>
            <w:r w:rsidR="00E23139">
              <w:rPr>
                <w:sz w:val="28"/>
                <w:szCs w:val="28"/>
                <w:lang w:val="uk-UA"/>
              </w:rPr>
              <w:t xml:space="preserve"> </w:t>
            </w:r>
            <w:r w:rsidR="00B83BB5" w:rsidRPr="00B83BB5">
              <w:rPr>
                <w:sz w:val="28"/>
                <w:szCs w:val="28"/>
                <w:lang w:val="uk-UA"/>
              </w:rPr>
              <w:t>_____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BA6012">
              <w:rPr>
                <w:sz w:val="28"/>
                <w:szCs w:val="28"/>
                <w:lang w:val="uk-UA"/>
              </w:rPr>
              <w:t xml:space="preserve"> площею 0,0999 га, 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B83BB5" w:rsidRPr="00B83BB5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Pr="00123375" w:rsidRDefault="00DD5184" w:rsidP="00305AB3">
      <w:pPr>
        <w:ind w:firstLine="720"/>
        <w:jc w:val="both"/>
        <w:rPr>
          <w:sz w:val="16"/>
          <w:szCs w:val="16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9C3D62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8737AB">
        <w:rPr>
          <w:sz w:val="28"/>
          <w:szCs w:val="28"/>
          <w:lang w:val="uk-UA"/>
        </w:rPr>
        <w:t>04 червня 2024 року</w:t>
      </w:r>
      <w:r w:rsidR="00A812E5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8737A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713C9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3D75">
        <w:rPr>
          <w:sz w:val="28"/>
          <w:szCs w:val="28"/>
          <w:lang w:val="uk-UA"/>
        </w:rPr>
        <w:t xml:space="preserve">. </w:t>
      </w:r>
      <w:proofErr w:type="spellStart"/>
      <w:r w:rsidR="009C3D62">
        <w:rPr>
          <w:sz w:val="28"/>
          <w:szCs w:val="28"/>
          <w:lang w:val="uk-UA"/>
        </w:rPr>
        <w:t>Яншину</w:t>
      </w:r>
      <w:proofErr w:type="spellEnd"/>
      <w:r w:rsidR="009C3D62">
        <w:rPr>
          <w:sz w:val="28"/>
          <w:szCs w:val="28"/>
          <w:lang w:val="uk-UA"/>
        </w:rPr>
        <w:t xml:space="preserve"> Миколі Анатолійовичу</w:t>
      </w:r>
      <w:r w:rsidR="00DC1899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 xml:space="preserve">в місячний термін </w:t>
      </w:r>
      <w:r w:rsidR="001F27F8">
        <w:rPr>
          <w:sz w:val="28"/>
          <w:szCs w:val="28"/>
          <w:lang w:val="uk-UA"/>
        </w:rPr>
        <w:t xml:space="preserve">після прийняття рішення </w:t>
      </w:r>
      <w:r w:rsidR="007150BD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713C96" w:rsidRDefault="00713C96" w:rsidP="00713C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1F27F8">
        <w:rPr>
          <w:sz w:val="28"/>
          <w:szCs w:val="28"/>
          <w:lang w:val="uk-UA"/>
        </w:rPr>
        <w:t>Яншину</w:t>
      </w:r>
      <w:proofErr w:type="spellEnd"/>
      <w:r w:rsidR="001F27F8">
        <w:rPr>
          <w:sz w:val="28"/>
          <w:szCs w:val="28"/>
          <w:lang w:val="uk-UA"/>
        </w:rPr>
        <w:t xml:space="preserve"> Миколі Анатолійовичу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1F27F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м. Суми, </w:t>
      </w:r>
      <w:r w:rsidR="00B83BB5" w:rsidRPr="00B83BB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0,0999 га, кадастровий номер </w:t>
      </w:r>
      <w:r w:rsidR="00B83BB5" w:rsidRPr="00B83BB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відповідно до рішення Сумської місько</w:t>
      </w:r>
      <w:r w:rsidR="001F27F8">
        <w:rPr>
          <w:sz w:val="28"/>
          <w:szCs w:val="28"/>
          <w:lang w:val="uk-UA"/>
        </w:rPr>
        <w:t>ї ради від 29 березня 2023 року</w:t>
      </w:r>
      <w:r w:rsidR="00BA6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3620-МР «Про інвентаризацію земель Сумської міської територіальної громади». </w:t>
      </w:r>
    </w:p>
    <w:p w:rsidR="00AC32FB" w:rsidRDefault="00713C96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C3D62">
        <w:rPr>
          <w:color w:val="000000" w:themeColor="text1"/>
          <w:sz w:val="28"/>
          <w:szCs w:val="28"/>
          <w:lang w:val="uk-UA"/>
        </w:rPr>
        <w:t>громадянину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</w:t>
      </w:r>
      <w:r w:rsidR="00AC32FB" w:rsidRPr="000E69CE">
        <w:rPr>
          <w:color w:val="000000" w:themeColor="text1"/>
          <w:sz w:val="28"/>
          <w:szCs w:val="28"/>
          <w:lang w:val="uk-UA"/>
        </w:rPr>
        <w:lastRenderedPageBreak/>
        <w:t xml:space="preserve">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23375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A6012" w:rsidRPr="008134BB">
        <w:rPr>
          <w:sz w:val="28"/>
          <w:szCs w:val="28"/>
          <w:lang w:val="uk-UA"/>
        </w:rPr>
        <w:t xml:space="preserve">Про </w:t>
      </w:r>
      <w:r w:rsidR="00BA6012">
        <w:rPr>
          <w:sz w:val="28"/>
          <w:szCs w:val="28"/>
          <w:lang w:val="uk-UA"/>
        </w:rPr>
        <w:t xml:space="preserve">надання в оренду </w:t>
      </w:r>
      <w:proofErr w:type="spellStart"/>
      <w:r w:rsidR="00BA6012">
        <w:rPr>
          <w:sz w:val="28"/>
          <w:szCs w:val="28"/>
          <w:lang w:val="uk-UA"/>
        </w:rPr>
        <w:t>Яншину</w:t>
      </w:r>
      <w:proofErr w:type="spellEnd"/>
      <w:r w:rsidR="00BA6012">
        <w:rPr>
          <w:sz w:val="28"/>
          <w:szCs w:val="28"/>
          <w:lang w:val="uk-UA"/>
        </w:rPr>
        <w:t xml:space="preserve"> Миколі Анатолійовичу </w:t>
      </w:r>
      <w:r w:rsidR="00BA6012" w:rsidRPr="00250644">
        <w:rPr>
          <w:sz w:val="28"/>
          <w:szCs w:val="28"/>
          <w:lang w:val="uk-UA"/>
        </w:rPr>
        <w:t>земельн</w:t>
      </w:r>
      <w:r w:rsidR="00BA6012">
        <w:rPr>
          <w:sz w:val="28"/>
          <w:szCs w:val="28"/>
          <w:lang w:val="uk-UA"/>
        </w:rPr>
        <w:t>ої</w:t>
      </w:r>
      <w:r w:rsidR="00BA6012" w:rsidRPr="00250644">
        <w:rPr>
          <w:sz w:val="28"/>
          <w:szCs w:val="28"/>
          <w:lang w:val="uk-UA"/>
        </w:rPr>
        <w:t xml:space="preserve"> ділян</w:t>
      </w:r>
      <w:r w:rsidR="00BA6012">
        <w:rPr>
          <w:sz w:val="28"/>
          <w:szCs w:val="28"/>
          <w:lang w:val="uk-UA"/>
        </w:rPr>
        <w:t>ки</w:t>
      </w:r>
      <w:r w:rsidR="00BA6012" w:rsidRPr="00250644">
        <w:rPr>
          <w:sz w:val="28"/>
          <w:szCs w:val="28"/>
          <w:lang w:val="uk-UA"/>
        </w:rPr>
        <w:t xml:space="preserve"> за </w:t>
      </w:r>
      <w:proofErr w:type="spellStart"/>
      <w:r w:rsidR="00BA6012" w:rsidRPr="00250644">
        <w:rPr>
          <w:sz w:val="28"/>
          <w:szCs w:val="28"/>
          <w:lang w:val="uk-UA"/>
        </w:rPr>
        <w:t>адресою</w:t>
      </w:r>
      <w:proofErr w:type="spellEnd"/>
      <w:r w:rsidR="00BA6012" w:rsidRPr="00250644">
        <w:rPr>
          <w:sz w:val="28"/>
          <w:szCs w:val="28"/>
          <w:lang w:val="uk-UA"/>
        </w:rPr>
        <w:t xml:space="preserve">: </w:t>
      </w:r>
      <w:r w:rsidR="001F27F8">
        <w:rPr>
          <w:sz w:val="28"/>
          <w:szCs w:val="28"/>
          <w:lang w:val="uk-UA"/>
        </w:rPr>
        <w:t xml:space="preserve">                      </w:t>
      </w:r>
      <w:r w:rsidR="00BA6012" w:rsidRPr="00250644">
        <w:rPr>
          <w:sz w:val="28"/>
          <w:szCs w:val="28"/>
          <w:lang w:val="uk-UA"/>
        </w:rPr>
        <w:t xml:space="preserve">м. Суми, </w:t>
      </w:r>
      <w:r w:rsidR="00B83BB5" w:rsidRPr="00B83BB5">
        <w:rPr>
          <w:sz w:val="28"/>
          <w:szCs w:val="28"/>
          <w:lang w:val="uk-UA"/>
        </w:rPr>
        <w:t>_____</w:t>
      </w:r>
      <w:r w:rsidR="00BA6012">
        <w:rPr>
          <w:sz w:val="28"/>
          <w:szCs w:val="28"/>
          <w:lang w:val="uk-UA"/>
        </w:rPr>
        <w:t xml:space="preserve">, площею 0,0999 га,  кадастровий номер </w:t>
      </w:r>
      <w:r w:rsidR="00B83BB5" w:rsidRPr="00B83BB5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9C3D62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DC1899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237"/>
        <w:gridCol w:w="6264"/>
        <w:gridCol w:w="1418"/>
        <w:gridCol w:w="2268"/>
        <w:gridCol w:w="2373"/>
      </w:tblGrid>
      <w:tr w:rsidR="000E1C29" w:rsidRPr="004F580C" w:rsidTr="008737AB">
        <w:trPr>
          <w:cantSplit/>
          <w:trHeight w:val="16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62" w:rsidRPr="003274C9" w:rsidRDefault="009C3D62" w:rsidP="009C3D6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A6012">
              <w:rPr>
                <w:color w:val="000000"/>
                <w:sz w:val="24"/>
                <w:szCs w:val="24"/>
                <w:lang w:val="uk-UA"/>
              </w:rPr>
              <w:t>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9C3D62" w:rsidP="009C3D62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8737AB">
        <w:trPr>
          <w:cantSplit/>
          <w:trHeight w:val="32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8737AB">
        <w:trPr>
          <w:cantSplit/>
          <w:trHeight w:val="3206"/>
        </w:trPr>
        <w:tc>
          <w:tcPr>
            <w:tcW w:w="768" w:type="pct"/>
            <w:shd w:val="clear" w:color="auto" w:fill="auto"/>
          </w:tcPr>
          <w:p w:rsidR="000E1C29" w:rsidRDefault="009C3D62" w:rsidP="000E1C2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Яншин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Микола Анатолійович, </w:t>
            </w:r>
          </w:p>
          <w:p w:rsidR="000E1C29" w:rsidRPr="00034EE6" w:rsidRDefault="000E1C29" w:rsidP="000E1C2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51" w:type="pct"/>
            <w:shd w:val="clear" w:color="auto" w:fill="auto"/>
          </w:tcPr>
          <w:p w:rsidR="000E1C29" w:rsidRPr="00962ED3" w:rsidRDefault="00BA6012" w:rsidP="00713C96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розміщеною</w:t>
            </w:r>
            <w:r w:rsidR="004540CB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станцією технічного обслуговування автомобілів</w:t>
            </w:r>
          </w:p>
          <w:p w:rsidR="000E1C29" w:rsidRPr="00962ED3" w:rsidRDefault="000E1C29" w:rsidP="00B83BB5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87" w:type="pct"/>
            <w:shd w:val="clear" w:color="auto" w:fill="auto"/>
          </w:tcPr>
          <w:p w:rsidR="000E1C29" w:rsidRPr="00962ED3" w:rsidRDefault="009C3D62" w:rsidP="00713C96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0,0999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C3D62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79" w:type="pct"/>
            <w:shd w:val="clear" w:color="auto" w:fill="auto"/>
          </w:tcPr>
          <w:p w:rsidR="000E1C29" w:rsidRPr="00962ED3" w:rsidRDefault="000E1C29" w:rsidP="00713C96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15" w:type="pct"/>
            <w:shd w:val="clear" w:color="auto" w:fill="auto"/>
          </w:tcPr>
          <w:p w:rsidR="000E1C29" w:rsidRPr="00BA6012" w:rsidRDefault="004540CB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32941" w:rsidRPr="00BA601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713C96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C240FF">
        <w:rPr>
          <w:sz w:val="24"/>
          <w:szCs w:val="24"/>
          <w:lang w:val="uk-UA"/>
        </w:rPr>
        <w:t>Клименко Юрій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2D64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23375"/>
    <w:rsid w:val="00134426"/>
    <w:rsid w:val="00150B87"/>
    <w:rsid w:val="0016173D"/>
    <w:rsid w:val="00166B37"/>
    <w:rsid w:val="00167DF3"/>
    <w:rsid w:val="001875E9"/>
    <w:rsid w:val="001A7EC7"/>
    <w:rsid w:val="001B5902"/>
    <w:rsid w:val="001C35ED"/>
    <w:rsid w:val="001D547C"/>
    <w:rsid w:val="001E605F"/>
    <w:rsid w:val="001F27F8"/>
    <w:rsid w:val="001F5C2E"/>
    <w:rsid w:val="001F7D67"/>
    <w:rsid w:val="00203F6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737AB"/>
    <w:rsid w:val="00883FCA"/>
    <w:rsid w:val="008A141E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2ED3"/>
    <w:rsid w:val="0096652F"/>
    <w:rsid w:val="00997E05"/>
    <w:rsid w:val="009A040B"/>
    <w:rsid w:val="009A74ED"/>
    <w:rsid w:val="009B1C21"/>
    <w:rsid w:val="009B55E3"/>
    <w:rsid w:val="009C1231"/>
    <w:rsid w:val="009C3D62"/>
    <w:rsid w:val="009C72FC"/>
    <w:rsid w:val="009D2FB6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3BB5"/>
    <w:rsid w:val="00B84BCF"/>
    <w:rsid w:val="00B949E5"/>
    <w:rsid w:val="00BA6012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23139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601D8-4E7C-48DA-A13A-F7175215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14</cp:revision>
  <cp:lastPrinted>2024-06-12T08:32:00Z</cp:lastPrinted>
  <dcterms:created xsi:type="dcterms:W3CDTF">2024-04-09T10:52:00Z</dcterms:created>
  <dcterms:modified xsi:type="dcterms:W3CDTF">2026-05-08T06:28:00Z</dcterms:modified>
</cp:coreProperties>
</file>