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B81572">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 xml:space="preserve">вул. </w:t>
            </w:r>
            <w:r w:rsidR="00B81572">
              <w:rPr>
                <w:rFonts w:ascii="Times New Roman" w:eastAsia="Times New Roman" w:hAnsi="Times New Roman" w:cs="Times New Roman"/>
                <w:sz w:val="28"/>
                <w:szCs w:val="28"/>
                <w:lang w:val="uk-UA" w:eastAsia="ru-RU"/>
              </w:rPr>
              <w:t>Харківській, 28/1</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_____________________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D1459B">
        <w:rPr>
          <w:rFonts w:ascii="Times New Roman" w:eastAsia="Times New Roman" w:hAnsi="Times New Roman" w:cs="Times New Roman"/>
          <w:sz w:val="28"/>
          <w:szCs w:val="20"/>
          <w:lang w:val="uk-UA" w:eastAsia="ru-RU"/>
        </w:rPr>
        <w:t>45</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r w:rsidR="008D184A">
        <w:rPr>
          <w:rFonts w:ascii="Times New Roman" w:eastAsia="Times New Roman" w:hAnsi="Times New Roman" w:cs="Times New Roman"/>
          <w:sz w:val="24"/>
          <w:szCs w:val="24"/>
          <w:lang w:val="uk-UA" w:eastAsia="ru-RU"/>
        </w:rPr>
        <w:t>__.__</w:t>
      </w:r>
      <w:r w:rsidR="005A7D10">
        <w:rPr>
          <w:rFonts w:ascii="Times New Roman" w:eastAsia="Times New Roman" w:hAnsi="Times New Roman" w:cs="Times New Roman"/>
          <w:sz w:val="24"/>
          <w:szCs w:val="24"/>
          <w:lang w:val="uk-UA" w:eastAsia="ru-RU"/>
        </w:rPr>
        <w:t>.2024</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Pr="004F44E1">
        <w:rPr>
          <w:rFonts w:ascii="Times New Roman" w:eastAsia="Times New Roman" w:hAnsi="Times New Roman" w:cs="Times New Roman"/>
          <w:sz w:val="16"/>
          <w:szCs w:val="16"/>
          <w:lang w:val="uk-UA" w:eastAsia="ru-RU"/>
        </w:rPr>
        <w:t xml:space="preserve">кт рішення підготовлено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5C4879"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 xml:space="preserve">Доповідач: </w:t>
      </w:r>
      <w:r w:rsidR="001027EF">
        <w:rPr>
          <w:rFonts w:ascii="Times New Roman" w:eastAsia="Times New Roman" w:hAnsi="Times New Roman" w:cs="Times New Roman"/>
          <w:sz w:val="16"/>
          <w:szCs w:val="16"/>
          <w:lang w:val="uk-UA" w:eastAsia="ru-RU"/>
        </w:rPr>
        <w:t>Дмитренко Сергій</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8D067B" w:rsidRPr="008D067B">
        <w:rPr>
          <w:rFonts w:ascii="Times New Roman" w:eastAsia="Times New Roman" w:hAnsi="Times New Roman" w:cs="Times New Roman"/>
          <w:sz w:val="28"/>
          <w:szCs w:val="28"/>
          <w:lang w:val="uk-UA" w:eastAsia="ru-RU"/>
        </w:rPr>
        <w:t>по</w:t>
      </w:r>
      <w:r w:rsidR="00A57FB0">
        <w:rPr>
          <w:rFonts w:ascii="Times New Roman" w:eastAsia="Times New Roman" w:hAnsi="Times New Roman" w:cs="Times New Roman"/>
          <w:sz w:val="28"/>
          <w:szCs w:val="28"/>
          <w:lang w:val="uk-UA" w:eastAsia="ru-RU"/>
        </w:rPr>
        <w:t xml:space="preserve"> </w:t>
      </w:r>
      <w:r w:rsidR="00BF2502" w:rsidRPr="00BF2502">
        <w:rPr>
          <w:rFonts w:ascii="Times New Roman" w:eastAsia="Times New Roman" w:hAnsi="Times New Roman" w:cs="Times New Roman"/>
          <w:sz w:val="28"/>
          <w:szCs w:val="28"/>
          <w:lang w:val="uk-UA" w:eastAsia="ru-RU"/>
        </w:rPr>
        <w:t xml:space="preserve">вул. </w:t>
      </w:r>
      <w:r w:rsidR="00685960">
        <w:rPr>
          <w:rFonts w:ascii="Times New Roman" w:eastAsia="Times New Roman" w:hAnsi="Times New Roman" w:cs="Times New Roman"/>
          <w:sz w:val="28"/>
          <w:szCs w:val="28"/>
          <w:lang w:val="uk-UA" w:eastAsia="ru-RU"/>
        </w:rPr>
        <w:t xml:space="preserve">Харківській, 28/1 у </w:t>
      </w:r>
      <w:r w:rsidR="001426F6">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1134"/>
        <w:gridCol w:w="3260"/>
      </w:tblGrid>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4252" w:type="dxa"/>
          </w:tcPr>
          <w:p w:rsidR="00A13E86" w:rsidRPr="00F700C5" w:rsidRDefault="00A13E86" w:rsidP="0057587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r w:rsidR="00575874">
              <w:rPr>
                <w:rFonts w:ascii="Times New Roman" w:eastAsia="Times New Roman" w:hAnsi="Times New Roman" w:cs="Times New Roman"/>
                <w:sz w:val="28"/>
                <w:szCs w:val="28"/>
                <w:lang w:val="uk-UA" w:eastAsia="ru-RU"/>
              </w:rPr>
              <w:t xml:space="preserve"> </w:t>
            </w: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425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097079">
        <w:tc>
          <w:tcPr>
            <w:tcW w:w="709" w:type="dxa"/>
          </w:tcPr>
          <w:p w:rsidR="00A13E86" w:rsidRDefault="00DB169F" w:rsidP="00097079">
            <w:pPr>
              <w:spacing w:after="0" w:line="240" w:lineRule="auto"/>
              <w:ind w:left="3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00A13E86" w:rsidRPr="004A1750">
              <w:rPr>
                <w:rFonts w:ascii="Times New Roman" w:eastAsia="Times New Roman" w:hAnsi="Times New Roman" w:cs="Times New Roman"/>
                <w:sz w:val="28"/>
                <w:szCs w:val="28"/>
                <w:lang w:val="uk-UA" w:eastAsia="ru-RU"/>
              </w:rPr>
              <w:t>.</w:t>
            </w:r>
          </w:p>
        </w:tc>
        <w:tc>
          <w:tcPr>
            <w:tcW w:w="4252" w:type="dxa"/>
          </w:tcPr>
          <w:p w:rsidR="00A13E86" w:rsidRDefault="00675D80" w:rsidP="001426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r w:rsidR="001426F6">
              <w:rPr>
                <w:rFonts w:ascii="Times New Roman" w:eastAsia="Times New Roman" w:hAnsi="Times New Roman" w:cs="Times New Roman"/>
                <w:sz w:val="28"/>
                <w:szCs w:val="28"/>
                <w:lang w:val="uk-UA" w:eastAsia="ru-RU"/>
              </w:rPr>
              <w:t>Харківська, 28/1</w:t>
            </w:r>
          </w:p>
        </w:tc>
        <w:tc>
          <w:tcPr>
            <w:tcW w:w="1134" w:type="dxa"/>
          </w:tcPr>
          <w:p w:rsidR="00A13E86" w:rsidRDefault="001426F6"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30,6</w:t>
            </w:r>
          </w:p>
        </w:tc>
        <w:tc>
          <w:tcPr>
            <w:tcW w:w="3260" w:type="dxa"/>
          </w:tcPr>
          <w:p w:rsidR="00A13E86" w:rsidRDefault="00573B81" w:rsidP="00097079">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Кусурга</w:t>
            </w:r>
            <w:r w:rsidR="001426F6">
              <w:rPr>
                <w:rFonts w:ascii="Times New Roman" w:eastAsia="Times New Roman" w:hAnsi="Times New Roman" w:cs="Times New Roman"/>
                <w:sz w:val="28"/>
                <w:szCs w:val="28"/>
                <w:lang w:val="uk-UA" w:eastAsia="ru-RU"/>
              </w:rPr>
              <w:t>шев</w:t>
            </w:r>
            <w:proofErr w:type="spellEnd"/>
            <w:r w:rsidR="001426F6">
              <w:rPr>
                <w:rFonts w:ascii="Times New Roman" w:eastAsia="Times New Roman" w:hAnsi="Times New Roman" w:cs="Times New Roman"/>
                <w:sz w:val="28"/>
                <w:szCs w:val="28"/>
                <w:lang w:val="uk-UA" w:eastAsia="ru-RU"/>
              </w:rPr>
              <w:t xml:space="preserve"> Іван Миколайович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Дмитренко Сергій</w:t>
      </w:r>
    </w:p>
    <w:p w:rsidR="005C4879" w:rsidRPr="00B27279" w:rsidRDefault="005C4879" w:rsidP="003B16B2">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00F3658C">
        <w:rPr>
          <w:rFonts w:ascii="Times New Roman" w:eastAsia="Times New Roman" w:hAnsi="Times New Roman" w:cs="Times New Roman"/>
          <w:sz w:val="24"/>
          <w:szCs w:val="24"/>
          <w:lang w:val="uk-UA" w:eastAsia="ru-RU"/>
        </w:rPr>
        <w:t>__.___</w:t>
      </w:r>
      <w:r w:rsidR="002647E9">
        <w:rPr>
          <w:rFonts w:ascii="Times New Roman" w:eastAsia="Times New Roman" w:hAnsi="Times New Roman" w:cs="Times New Roman"/>
          <w:sz w:val="24"/>
          <w:szCs w:val="24"/>
          <w:lang w:val="uk-UA" w:eastAsia="ru-RU"/>
        </w:rPr>
        <w:t>.2024</w:t>
      </w: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5E2D"/>
    <w:rsid w:val="000563A0"/>
    <w:rsid w:val="00064D48"/>
    <w:rsid w:val="00071AE6"/>
    <w:rsid w:val="000729DE"/>
    <w:rsid w:val="00075D3F"/>
    <w:rsid w:val="00093D1C"/>
    <w:rsid w:val="00097079"/>
    <w:rsid w:val="000A1CF1"/>
    <w:rsid w:val="000A1EE4"/>
    <w:rsid w:val="000A3DD8"/>
    <w:rsid w:val="000B36FE"/>
    <w:rsid w:val="000B731B"/>
    <w:rsid w:val="000C6BB9"/>
    <w:rsid w:val="000D24E2"/>
    <w:rsid w:val="000D4F5A"/>
    <w:rsid w:val="000F4990"/>
    <w:rsid w:val="00101CCE"/>
    <w:rsid w:val="0010206D"/>
    <w:rsid w:val="001027EF"/>
    <w:rsid w:val="001063E8"/>
    <w:rsid w:val="00120D8B"/>
    <w:rsid w:val="00122C55"/>
    <w:rsid w:val="00132C3A"/>
    <w:rsid w:val="0013572D"/>
    <w:rsid w:val="00136DC1"/>
    <w:rsid w:val="001426F6"/>
    <w:rsid w:val="00174884"/>
    <w:rsid w:val="0018770E"/>
    <w:rsid w:val="001902A0"/>
    <w:rsid w:val="0019248F"/>
    <w:rsid w:val="001B4503"/>
    <w:rsid w:val="001C0BC8"/>
    <w:rsid w:val="001C2512"/>
    <w:rsid w:val="001C65AC"/>
    <w:rsid w:val="001C769F"/>
    <w:rsid w:val="001D2C04"/>
    <w:rsid w:val="001D2DD1"/>
    <w:rsid w:val="001D6544"/>
    <w:rsid w:val="001E2A17"/>
    <w:rsid w:val="001E6A61"/>
    <w:rsid w:val="001E6C9C"/>
    <w:rsid w:val="001E6E3E"/>
    <w:rsid w:val="001F3395"/>
    <w:rsid w:val="002242AA"/>
    <w:rsid w:val="0023160E"/>
    <w:rsid w:val="002435F2"/>
    <w:rsid w:val="00257255"/>
    <w:rsid w:val="0026266F"/>
    <w:rsid w:val="002647E9"/>
    <w:rsid w:val="00270FB9"/>
    <w:rsid w:val="0028451E"/>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27877"/>
    <w:rsid w:val="0033260E"/>
    <w:rsid w:val="00353510"/>
    <w:rsid w:val="00367EC4"/>
    <w:rsid w:val="00370496"/>
    <w:rsid w:val="0037610C"/>
    <w:rsid w:val="003825DC"/>
    <w:rsid w:val="00385AE0"/>
    <w:rsid w:val="00394F69"/>
    <w:rsid w:val="003A2403"/>
    <w:rsid w:val="003A2417"/>
    <w:rsid w:val="003A722E"/>
    <w:rsid w:val="003B16B2"/>
    <w:rsid w:val="003B35F4"/>
    <w:rsid w:val="003C371E"/>
    <w:rsid w:val="003C4716"/>
    <w:rsid w:val="003D1BB8"/>
    <w:rsid w:val="003D22D6"/>
    <w:rsid w:val="003E1C14"/>
    <w:rsid w:val="004214F8"/>
    <w:rsid w:val="00421C78"/>
    <w:rsid w:val="00424FA6"/>
    <w:rsid w:val="004307A6"/>
    <w:rsid w:val="00436AC8"/>
    <w:rsid w:val="00437085"/>
    <w:rsid w:val="00446083"/>
    <w:rsid w:val="00457383"/>
    <w:rsid w:val="00460399"/>
    <w:rsid w:val="004646AD"/>
    <w:rsid w:val="00464AD0"/>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3B81"/>
    <w:rsid w:val="00574545"/>
    <w:rsid w:val="00575874"/>
    <w:rsid w:val="0058308D"/>
    <w:rsid w:val="00583CAB"/>
    <w:rsid w:val="00584F86"/>
    <w:rsid w:val="005860B3"/>
    <w:rsid w:val="005919C4"/>
    <w:rsid w:val="005A7D10"/>
    <w:rsid w:val="005B0656"/>
    <w:rsid w:val="005C392C"/>
    <w:rsid w:val="005C4879"/>
    <w:rsid w:val="005C75DA"/>
    <w:rsid w:val="005D1926"/>
    <w:rsid w:val="005D3722"/>
    <w:rsid w:val="005D39D5"/>
    <w:rsid w:val="005D5C5F"/>
    <w:rsid w:val="005D6058"/>
    <w:rsid w:val="005E1B06"/>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75D80"/>
    <w:rsid w:val="00681DDF"/>
    <w:rsid w:val="00685960"/>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5513C"/>
    <w:rsid w:val="00767856"/>
    <w:rsid w:val="007710D4"/>
    <w:rsid w:val="007A1C78"/>
    <w:rsid w:val="007A2FFE"/>
    <w:rsid w:val="007A32FA"/>
    <w:rsid w:val="007B05A5"/>
    <w:rsid w:val="007D096A"/>
    <w:rsid w:val="007E4AA4"/>
    <w:rsid w:val="007E6A2A"/>
    <w:rsid w:val="007F0270"/>
    <w:rsid w:val="007F1670"/>
    <w:rsid w:val="007F5391"/>
    <w:rsid w:val="00801A77"/>
    <w:rsid w:val="00804F05"/>
    <w:rsid w:val="008079E5"/>
    <w:rsid w:val="0082040F"/>
    <w:rsid w:val="00827E2B"/>
    <w:rsid w:val="00833876"/>
    <w:rsid w:val="00843138"/>
    <w:rsid w:val="0084320D"/>
    <w:rsid w:val="00850628"/>
    <w:rsid w:val="00854686"/>
    <w:rsid w:val="00855053"/>
    <w:rsid w:val="0085613B"/>
    <w:rsid w:val="00856649"/>
    <w:rsid w:val="00857478"/>
    <w:rsid w:val="00871A4B"/>
    <w:rsid w:val="008B11E3"/>
    <w:rsid w:val="008B380E"/>
    <w:rsid w:val="008C0060"/>
    <w:rsid w:val="008C51FA"/>
    <w:rsid w:val="008D067B"/>
    <w:rsid w:val="008D184A"/>
    <w:rsid w:val="008D4009"/>
    <w:rsid w:val="008E06D2"/>
    <w:rsid w:val="008F072E"/>
    <w:rsid w:val="0090450B"/>
    <w:rsid w:val="009148E5"/>
    <w:rsid w:val="009230EB"/>
    <w:rsid w:val="00946DF8"/>
    <w:rsid w:val="00951A4A"/>
    <w:rsid w:val="00972034"/>
    <w:rsid w:val="00972D35"/>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35DFF"/>
    <w:rsid w:val="00A46D1A"/>
    <w:rsid w:val="00A476CE"/>
    <w:rsid w:val="00A52E37"/>
    <w:rsid w:val="00A57FB0"/>
    <w:rsid w:val="00A60AB9"/>
    <w:rsid w:val="00A70187"/>
    <w:rsid w:val="00A75677"/>
    <w:rsid w:val="00A77C05"/>
    <w:rsid w:val="00A8209B"/>
    <w:rsid w:val="00A9240F"/>
    <w:rsid w:val="00AB0410"/>
    <w:rsid w:val="00AB5FCA"/>
    <w:rsid w:val="00AC6A13"/>
    <w:rsid w:val="00AD32D7"/>
    <w:rsid w:val="00AD3F94"/>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1572"/>
    <w:rsid w:val="00B82C38"/>
    <w:rsid w:val="00BB256A"/>
    <w:rsid w:val="00BC0B35"/>
    <w:rsid w:val="00BC0E62"/>
    <w:rsid w:val="00BC767D"/>
    <w:rsid w:val="00BD2D88"/>
    <w:rsid w:val="00BE0190"/>
    <w:rsid w:val="00BE3A37"/>
    <w:rsid w:val="00BE56A1"/>
    <w:rsid w:val="00BE5B5A"/>
    <w:rsid w:val="00BF2502"/>
    <w:rsid w:val="00C04F40"/>
    <w:rsid w:val="00C2553D"/>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A7496"/>
    <w:rsid w:val="00CB646B"/>
    <w:rsid w:val="00CB6A22"/>
    <w:rsid w:val="00CD4061"/>
    <w:rsid w:val="00CD4E2B"/>
    <w:rsid w:val="00CE4205"/>
    <w:rsid w:val="00CE5881"/>
    <w:rsid w:val="00CF7D5F"/>
    <w:rsid w:val="00D03557"/>
    <w:rsid w:val="00D1459B"/>
    <w:rsid w:val="00D20C88"/>
    <w:rsid w:val="00D21489"/>
    <w:rsid w:val="00D22EE3"/>
    <w:rsid w:val="00D31AC2"/>
    <w:rsid w:val="00D32253"/>
    <w:rsid w:val="00D40A37"/>
    <w:rsid w:val="00D64D29"/>
    <w:rsid w:val="00D75562"/>
    <w:rsid w:val="00D85773"/>
    <w:rsid w:val="00DA36A5"/>
    <w:rsid w:val="00DB0D3F"/>
    <w:rsid w:val="00DB169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5324"/>
    <w:rsid w:val="00E96662"/>
    <w:rsid w:val="00E9707F"/>
    <w:rsid w:val="00EB1732"/>
    <w:rsid w:val="00EC3103"/>
    <w:rsid w:val="00ED6AD8"/>
    <w:rsid w:val="00ED7789"/>
    <w:rsid w:val="00EE5272"/>
    <w:rsid w:val="00EF35A4"/>
    <w:rsid w:val="00F10504"/>
    <w:rsid w:val="00F12FA4"/>
    <w:rsid w:val="00F12FD2"/>
    <w:rsid w:val="00F23224"/>
    <w:rsid w:val="00F24CC0"/>
    <w:rsid w:val="00F3658C"/>
    <w:rsid w:val="00F37526"/>
    <w:rsid w:val="00F43DF0"/>
    <w:rsid w:val="00F45903"/>
    <w:rsid w:val="00F46EFD"/>
    <w:rsid w:val="00F52942"/>
    <w:rsid w:val="00F52F0C"/>
    <w:rsid w:val="00F6156F"/>
    <w:rsid w:val="00F6209F"/>
    <w:rsid w:val="00F661FC"/>
    <w:rsid w:val="00F72F9B"/>
    <w:rsid w:val="00FE1351"/>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8358-2791-43B9-8591-356EFF43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Селешок Людмила Іванівна</cp:lastModifiedBy>
  <cp:revision>13</cp:revision>
  <cp:lastPrinted>2024-12-16T14:51:00Z</cp:lastPrinted>
  <dcterms:created xsi:type="dcterms:W3CDTF">2024-12-16T14:59:00Z</dcterms:created>
  <dcterms:modified xsi:type="dcterms:W3CDTF">2024-12-18T14:25:00Z</dcterms:modified>
</cp:coreProperties>
</file>