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06" w:rsidRDefault="00120E44" w:rsidP="00E95006">
      <w:pPr>
        <w:spacing w:line="240" w:lineRule="auto"/>
        <w:ind w:left="1119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95006"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E95006" w:rsidRDefault="00E95006" w:rsidP="00E95006">
      <w:pPr>
        <w:spacing w:line="240" w:lineRule="auto"/>
        <w:ind w:left="1119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до рішення Сумської міської ради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звіт про хід виконання цільової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підтримки малого і середнього підприємництва Сумської міської територіальної громади на 2022-2024 роки, затвердженої рішенням Сумської міської ради від 29 вересня 2021 року № 1601-МР (зі змінами),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 2024 рік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та заключний звіт за підсумками 2022-2024 років                                                       від                     №</w:t>
      </w:r>
    </w:p>
    <w:p w:rsidR="00603FF8" w:rsidRPr="00346D5B" w:rsidRDefault="00603FF8" w:rsidP="00E95006">
      <w:pPr>
        <w:spacing w:line="240" w:lineRule="auto"/>
        <w:ind w:left="11328"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00017" w:rsidRPr="00346D5B" w:rsidRDefault="00700017" w:rsidP="007000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D5B">
        <w:rPr>
          <w:rFonts w:ascii="Times New Roman" w:eastAsia="Times New Roman" w:hAnsi="Times New Roman" w:cs="Times New Roman"/>
          <w:b/>
          <w:sz w:val="28"/>
          <w:szCs w:val="28"/>
        </w:rPr>
        <w:t>Інформація про виконання програми</w:t>
      </w:r>
    </w:p>
    <w:p w:rsidR="00700017" w:rsidRPr="00346D5B" w:rsidRDefault="00700017" w:rsidP="00700017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46D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 </w:t>
      </w:r>
      <w:r w:rsidR="00896D44" w:rsidRPr="00346D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2022-</w:t>
      </w:r>
      <w:r w:rsidR="00AE67DF" w:rsidRPr="00346D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2024</w:t>
      </w:r>
      <w:r w:rsidR="00896D44" w:rsidRPr="00346D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роки</w:t>
      </w:r>
    </w:p>
    <w:p w:rsidR="008716F2" w:rsidRPr="00346D5B" w:rsidRDefault="008716F2" w:rsidP="008716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D5B">
        <w:rPr>
          <w:rFonts w:ascii="Times New Roman" w:eastAsia="Times New Roman" w:hAnsi="Times New Roman" w:cs="Times New Roman"/>
          <w:sz w:val="24"/>
          <w:szCs w:val="24"/>
        </w:rPr>
        <w:t>(звітний період)*</w:t>
      </w:r>
    </w:p>
    <w:p w:rsidR="005203FC" w:rsidRPr="00346D5B" w:rsidRDefault="005203FC" w:rsidP="008716F2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00017" w:rsidRPr="00346D5B" w:rsidRDefault="00700017" w:rsidP="00700017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46D5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866E0" w:rsidRPr="00346D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Ц</w:t>
      </w:r>
      <w:r w:rsidRPr="00346D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ільова Програма підтримки малого і середнього підприємництва Сумської міської територіальної громади на 2022-2024 роки, затверджена рішенням Сумської міської ради від 29 вересня</w:t>
      </w:r>
      <w:r w:rsidR="00AE67DF" w:rsidRPr="00346D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2021 року №</w:t>
      </w:r>
      <w:r w:rsidR="00120E44" w:rsidRPr="00346D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AE67DF" w:rsidRPr="00346D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1601-МР (зі змінами)</w:t>
      </w:r>
    </w:p>
    <w:p w:rsidR="00700017" w:rsidRPr="00346D5B" w:rsidRDefault="00700017" w:rsidP="007000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D5B">
        <w:rPr>
          <w:rFonts w:ascii="Times New Roman" w:eastAsia="Times New Roman" w:hAnsi="Times New Roman" w:cs="Times New Roman"/>
          <w:sz w:val="24"/>
          <w:szCs w:val="24"/>
        </w:rPr>
        <w:t>(найменування програми, дата і номер рішення про її затвердження)</w:t>
      </w:r>
    </w:p>
    <w:p w:rsidR="00700017" w:rsidRPr="00346D5B" w:rsidRDefault="00700017" w:rsidP="00700017">
      <w:pP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46D5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9221D" w:rsidRPr="0049221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Департамент забезпечення ресурсних платежів Сумської міської ради</w:t>
      </w:r>
      <w:r w:rsidR="0049221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; </w:t>
      </w:r>
      <w:r w:rsidRPr="0049221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Департамент</w:t>
      </w:r>
      <w:r w:rsidRPr="00346D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інспекційної роботи Сумської міської ради</w:t>
      </w:r>
    </w:p>
    <w:p w:rsidR="00700017" w:rsidRPr="00346D5B" w:rsidRDefault="00700017" w:rsidP="007000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D5B">
        <w:rPr>
          <w:rFonts w:ascii="Times New Roman" w:eastAsia="Times New Roman" w:hAnsi="Times New Roman" w:cs="Times New Roman"/>
          <w:sz w:val="24"/>
          <w:szCs w:val="24"/>
        </w:rPr>
        <w:t>(відповідальний виконавець програми)</w:t>
      </w:r>
    </w:p>
    <w:p w:rsidR="00700017" w:rsidRPr="00346D5B" w:rsidRDefault="00700017" w:rsidP="0070001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="00307418" w:rsidRPr="00346D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r w:rsidR="00307418" w:rsidRPr="00346D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46D5B">
        <w:rPr>
          <w:rFonts w:ascii="Times New Roman" w:eastAsia="Times New Roman" w:hAnsi="Times New Roman" w:cs="Times New Roman"/>
          <w:sz w:val="24"/>
          <w:szCs w:val="24"/>
        </w:rPr>
        <w:t>ис</w:t>
      </w:r>
      <w:r w:rsidR="00307418" w:rsidRPr="00346D5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346D5B">
        <w:rPr>
          <w:rFonts w:ascii="Times New Roman" w:eastAsia="Times New Roman" w:hAnsi="Times New Roman" w:cs="Times New Roman"/>
          <w:sz w:val="24"/>
          <w:szCs w:val="24"/>
        </w:rPr>
        <w:t xml:space="preserve"> грн </w:t>
      </w:r>
    </w:p>
    <w:tbl>
      <w:tblPr>
        <w:tblW w:w="16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994"/>
        <w:gridCol w:w="4337"/>
        <w:gridCol w:w="907"/>
        <w:gridCol w:w="851"/>
        <w:gridCol w:w="699"/>
        <w:gridCol w:w="16"/>
        <w:gridCol w:w="844"/>
        <w:gridCol w:w="851"/>
        <w:gridCol w:w="749"/>
        <w:gridCol w:w="26"/>
        <w:gridCol w:w="866"/>
        <w:gridCol w:w="992"/>
        <w:gridCol w:w="656"/>
        <w:gridCol w:w="19"/>
      </w:tblGrid>
      <w:tr w:rsidR="002D6C47" w:rsidRPr="00346D5B" w:rsidTr="00346D5B">
        <w:trPr>
          <w:trHeight w:val="508"/>
          <w:jc w:val="center"/>
        </w:trPr>
        <w:tc>
          <w:tcPr>
            <w:tcW w:w="3396" w:type="dxa"/>
            <w:vMerge w:val="restart"/>
          </w:tcPr>
          <w:p w:rsidR="002D6C47" w:rsidRPr="00346D5B" w:rsidRDefault="002D6C47" w:rsidP="005B1BF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>Назва завдання та заходу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vMerge w:val="restart"/>
          </w:tcPr>
          <w:p w:rsidR="002D6C47" w:rsidRPr="00346D5B" w:rsidRDefault="002D6C47" w:rsidP="005B1B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>КПКВК</w:t>
            </w:r>
          </w:p>
        </w:tc>
        <w:tc>
          <w:tcPr>
            <w:tcW w:w="4337" w:type="dxa"/>
            <w:vMerge w:val="restart"/>
          </w:tcPr>
          <w:p w:rsidR="002D6C47" w:rsidRPr="00346D5B" w:rsidRDefault="002D6C47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Інформація про виконання заходу/завдання </w:t>
            </w:r>
          </w:p>
        </w:tc>
        <w:tc>
          <w:tcPr>
            <w:tcW w:w="2473" w:type="dxa"/>
            <w:gridSpan w:val="4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>Обсяги фінансування програми</w:t>
            </w:r>
          </w:p>
        </w:tc>
        <w:tc>
          <w:tcPr>
            <w:tcW w:w="2470" w:type="dxa"/>
            <w:gridSpan w:val="4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>Затверджено у бюджеті СМТГ (зі змінами)</w:t>
            </w:r>
          </w:p>
        </w:tc>
        <w:tc>
          <w:tcPr>
            <w:tcW w:w="2533" w:type="dxa"/>
            <w:gridSpan w:val="4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>Виконано</w:t>
            </w:r>
          </w:p>
        </w:tc>
      </w:tr>
      <w:tr w:rsidR="002D6C47" w:rsidRPr="00346D5B" w:rsidTr="00346D5B">
        <w:trPr>
          <w:gridAfter w:val="1"/>
          <w:wAfter w:w="19" w:type="dxa"/>
          <w:trHeight w:val="547"/>
          <w:jc w:val="center"/>
        </w:trPr>
        <w:tc>
          <w:tcPr>
            <w:tcW w:w="3396" w:type="dxa"/>
            <w:vMerge/>
          </w:tcPr>
          <w:p w:rsidR="002D6C47" w:rsidRPr="00346D5B" w:rsidRDefault="002D6C47" w:rsidP="005B1BF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2D6C47" w:rsidRPr="00346D5B" w:rsidRDefault="002D6C47" w:rsidP="005B1BF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vMerge/>
          </w:tcPr>
          <w:p w:rsidR="002D6C47" w:rsidRPr="00346D5B" w:rsidRDefault="002D6C47" w:rsidP="005B1BF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>Усього</w:t>
            </w:r>
          </w:p>
        </w:tc>
        <w:tc>
          <w:tcPr>
            <w:tcW w:w="851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заг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699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спец. фонд</w:t>
            </w:r>
          </w:p>
        </w:tc>
        <w:tc>
          <w:tcPr>
            <w:tcW w:w="860" w:type="dxa"/>
            <w:gridSpan w:val="2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>Усього</w:t>
            </w:r>
          </w:p>
        </w:tc>
        <w:tc>
          <w:tcPr>
            <w:tcW w:w="851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заг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749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спец. фонд</w:t>
            </w:r>
          </w:p>
        </w:tc>
        <w:tc>
          <w:tcPr>
            <w:tcW w:w="892" w:type="dxa"/>
            <w:gridSpan w:val="2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>Усього</w:t>
            </w:r>
          </w:p>
        </w:tc>
        <w:tc>
          <w:tcPr>
            <w:tcW w:w="992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заг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656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спец. фонд</w:t>
            </w:r>
          </w:p>
        </w:tc>
      </w:tr>
      <w:tr w:rsidR="002D6C47" w:rsidRPr="00346D5B" w:rsidTr="00346D5B">
        <w:trPr>
          <w:gridAfter w:val="1"/>
          <w:wAfter w:w="19" w:type="dxa"/>
          <w:trHeight w:val="270"/>
          <w:jc w:val="center"/>
        </w:trPr>
        <w:tc>
          <w:tcPr>
            <w:tcW w:w="3396" w:type="dxa"/>
          </w:tcPr>
          <w:p w:rsidR="002D6C47" w:rsidRPr="00346D5B" w:rsidRDefault="002D6C47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:rsidR="002D6C47" w:rsidRPr="00346D5B" w:rsidRDefault="002D6C47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37" w:type="dxa"/>
          </w:tcPr>
          <w:p w:rsidR="002D6C47" w:rsidRPr="00346D5B" w:rsidRDefault="002D6C47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699" w:type="dxa"/>
          </w:tcPr>
          <w:p w:rsidR="002D6C47" w:rsidRPr="00346D5B" w:rsidRDefault="002D6C47" w:rsidP="005B1B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860" w:type="dxa"/>
            <w:gridSpan w:val="2"/>
          </w:tcPr>
          <w:p w:rsidR="002D6C47" w:rsidRPr="00346D5B" w:rsidRDefault="002D6C47" w:rsidP="005B1B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2D6C47" w:rsidRPr="00346D5B" w:rsidRDefault="002D6C47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749" w:type="dxa"/>
          </w:tcPr>
          <w:p w:rsidR="002D6C47" w:rsidRPr="00346D5B" w:rsidRDefault="002D6C47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892" w:type="dxa"/>
            <w:gridSpan w:val="2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D6C47" w:rsidRPr="00346D5B" w:rsidRDefault="002D6C47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i/>
                <w:sz w:val="18"/>
                <w:szCs w:val="18"/>
              </w:rPr>
              <w:t>11</w:t>
            </w:r>
          </w:p>
        </w:tc>
      </w:tr>
      <w:tr w:rsidR="002D6C47" w:rsidRPr="00346D5B" w:rsidTr="00E95006">
        <w:trPr>
          <w:gridAfter w:val="1"/>
          <w:wAfter w:w="19" w:type="dxa"/>
          <w:trHeight w:val="164"/>
          <w:jc w:val="center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346D5B" w:rsidRDefault="002D6C47" w:rsidP="005B1B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Всього на виконання програми, в </w:t>
            </w:r>
            <w:proofErr w:type="spellStart"/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>. за джерелами фінансування: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D6C47" w:rsidRPr="00346D5B" w:rsidRDefault="002D6C47" w:rsidP="005B1BF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2D6C47" w:rsidRPr="00346D5B" w:rsidRDefault="002D6C47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346D5B" w:rsidRDefault="005B1BFE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5870,00</w:t>
            </w:r>
          </w:p>
        </w:tc>
        <w:tc>
          <w:tcPr>
            <w:tcW w:w="851" w:type="dxa"/>
          </w:tcPr>
          <w:p w:rsidR="002D6C47" w:rsidRPr="00346D5B" w:rsidRDefault="00664C9C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5470,00</w:t>
            </w:r>
          </w:p>
        </w:tc>
        <w:tc>
          <w:tcPr>
            <w:tcW w:w="699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346D5B" w:rsidRDefault="00534675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2100,00</w:t>
            </w:r>
          </w:p>
        </w:tc>
        <w:tc>
          <w:tcPr>
            <w:tcW w:w="851" w:type="dxa"/>
          </w:tcPr>
          <w:p w:rsidR="002D6C47" w:rsidRPr="00346D5B" w:rsidRDefault="00534675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2100,00</w:t>
            </w:r>
          </w:p>
        </w:tc>
        <w:tc>
          <w:tcPr>
            <w:tcW w:w="749" w:type="dxa"/>
          </w:tcPr>
          <w:p w:rsidR="002D6C47" w:rsidRPr="00346D5B" w:rsidRDefault="002D6C47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346D5B" w:rsidRDefault="00025EB6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656,251</w:t>
            </w:r>
          </w:p>
        </w:tc>
        <w:tc>
          <w:tcPr>
            <w:tcW w:w="992" w:type="dxa"/>
          </w:tcPr>
          <w:p w:rsidR="002D6C47" w:rsidRPr="00346D5B" w:rsidRDefault="004E61A4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656,251</w:t>
            </w:r>
          </w:p>
        </w:tc>
        <w:tc>
          <w:tcPr>
            <w:tcW w:w="656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E61A4" w:rsidRPr="00346D5B" w:rsidTr="00E95006">
        <w:trPr>
          <w:gridAfter w:val="1"/>
          <w:wAfter w:w="19" w:type="dxa"/>
          <w:trHeight w:val="15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4E61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2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5470,00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5470,00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2100,00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656,251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656,251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bookmarkEnd w:id="0"/>
      <w:tr w:rsidR="004E61A4" w:rsidRPr="00346D5B" w:rsidTr="00346D5B">
        <w:trPr>
          <w:gridAfter w:val="1"/>
          <w:wAfter w:w="19" w:type="dxa"/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1A4" w:rsidRPr="00346D5B" w:rsidTr="00346D5B">
        <w:trPr>
          <w:gridAfter w:val="1"/>
          <w:wAfter w:w="19" w:type="dxa"/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Інші джерела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E61A4" w:rsidRPr="00346D5B" w:rsidTr="00346D5B">
        <w:trPr>
          <w:gridAfter w:val="1"/>
          <w:wAfter w:w="19" w:type="dxa"/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Завдання 1. </w:t>
            </w:r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>Дослідження проблемних питань  діяльності суб’єктів малого і середнього підприємництва Сумської МТГ</w:t>
            </w:r>
            <w:r w:rsidRPr="00346D5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всього, в </w:t>
            </w:r>
            <w:proofErr w:type="spellStart"/>
            <w:r w:rsidRPr="00346D5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90,00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40,00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E61A4" w:rsidRPr="00346D5B" w:rsidTr="00346D5B">
        <w:trPr>
          <w:gridAfter w:val="1"/>
          <w:wAfter w:w="19" w:type="dxa"/>
          <w:trHeight w:val="18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4E61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  <w:p w:rsidR="004E61A4" w:rsidRPr="00346D5B" w:rsidRDefault="004E61A4" w:rsidP="004E61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90,00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40,00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E61A4" w:rsidRPr="00346D5B" w:rsidTr="00346D5B">
        <w:trPr>
          <w:gridAfter w:val="1"/>
          <w:wAfter w:w="19" w:type="dxa"/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E61A4" w:rsidRPr="00346D5B" w:rsidTr="00346D5B">
        <w:trPr>
          <w:gridAfter w:val="1"/>
          <w:wAfter w:w="19" w:type="dxa"/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Інші джерела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E61A4" w:rsidRPr="00346D5B" w:rsidTr="00346D5B">
        <w:trPr>
          <w:gridAfter w:val="1"/>
          <w:wAfter w:w="19" w:type="dxa"/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4E61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Захід 1.1. </w:t>
            </w:r>
            <w:r w:rsidRPr="00346D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Проведення моніторингу та аналізу бізнес-середовища        Сумської МТГ, який включатиме: </w:t>
            </w:r>
          </w:p>
          <w:p w:rsidR="004E61A4" w:rsidRPr="00346D5B" w:rsidRDefault="004E61A4" w:rsidP="004E61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eastAsia="Calibri" w:hAnsi="Times New Roman" w:cs="Times New Roman"/>
                <w:sz w:val="18"/>
                <w:szCs w:val="18"/>
              </w:rPr>
              <w:t>- дослідження місцевого бізнес-середовища, проведення серії фокус-груп, індивідуальні інтерв’ю з суб’єктами підприємницької діяльності, анкетування, експертне опрацювання;</w:t>
            </w:r>
          </w:p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eastAsia="Calibri" w:hAnsi="Times New Roman" w:cs="Times New Roman"/>
                <w:sz w:val="18"/>
                <w:szCs w:val="18"/>
              </w:rPr>
              <w:t>- розробка пропозицій (дорожня карта) щодо усунення перешкод, які заважають розвитку підприємництва          Сумської МТГ</w:t>
            </w:r>
            <w:r w:rsidRPr="0034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46D5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всього, в </w:t>
            </w:r>
            <w:proofErr w:type="spellStart"/>
            <w:r w:rsidRPr="00346D5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. за джерелами фінансування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 умовах війни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внаслідок повномасштабної військової агресії зі сторони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рф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проти України заходи не проводились</w:t>
            </w:r>
          </w:p>
        </w:tc>
        <w:tc>
          <w:tcPr>
            <w:tcW w:w="907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9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40,00</w:t>
            </w:r>
          </w:p>
        </w:tc>
        <w:tc>
          <w:tcPr>
            <w:tcW w:w="851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40,00</w:t>
            </w:r>
          </w:p>
        </w:tc>
        <w:tc>
          <w:tcPr>
            <w:tcW w:w="749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E61A4" w:rsidRPr="00346D5B" w:rsidTr="00346D5B">
        <w:trPr>
          <w:gridAfter w:val="1"/>
          <w:wAfter w:w="19" w:type="dxa"/>
          <w:trHeight w:val="141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4E61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9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40,00</w:t>
            </w:r>
          </w:p>
        </w:tc>
        <w:tc>
          <w:tcPr>
            <w:tcW w:w="851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40,00</w:t>
            </w:r>
          </w:p>
        </w:tc>
        <w:tc>
          <w:tcPr>
            <w:tcW w:w="749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E61A4" w:rsidRPr="00346D5B" w:rsidTr="00346D5B">
        <w:trPr>
          <w:gridAfter w:val="1"/>
          <w:wAfter w:w="19" w:type="dxa"/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4E61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E61A4" w:rsidRPr="00346D5B" w:rsidTr="00346D5B">
        <w:trPr>
          <w:gridAfter w:val="1"/>
          <w:wAfter w:w="19" w:type="dxa"/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4E61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Інші джерела 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E61A4" w:rsidRPr="00346D5B" w:rsidTr="00346D5B">
        <w:trPr>
          <w:gridAfter w:val="1"/>
          <w:wAfter w:w="19" w:type="dxa"/>
          <w:trHeight w:val="920"/>
          <w:jc w:val="center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4E61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Завдання 2. Стабільне функціонування системи взаємодії місцевих органів влади, суб’єктів господарювання, громадських формувань, споживачів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46D5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всього, в </w:t>
            </w:r>
            <w:proofErr w:type="spellStart"/>
            <w:r w:rsidRPr="00346D5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. за джерелами фінансування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1050,00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750,00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314,00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314,00</w:t>
            </w:r>
          </w:p>
        </w:tc>
        <w:tc>
          <w:tcPr>
            <w:tcW w:w="749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0A4" w:rsidRPr="00346D5B" w:rsidRDefault="007410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39,798</w:t>
            </w:r>
          </w:p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0A4" w:rsidRPr="00346D5B" w:rsidRDefault="007410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0A4" w:rsidRPr="00346D5B" w:rsidRDefault="007410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39,798</w:t>
            </w:r>
          </w:p>
        </w:tc>
        <w:tc>
          <w:tcPr>
            <w:tcW w:w="656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0A4" w:rsidRPr="00346D5B" w:rsidRDefault="007410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0A4" w:rsidRPr="00346D5B" w:rsidRDefault="007410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122"/>
          <w:jc w:val="center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750,00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314,00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314,00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39,798</w:t>
            </w:r>
          </w:p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39,798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0471E" w:rsidRPr="00346D5B" w:rsidTr="00346D5B">
        <w:trPr>
          <w:gridAfter w:val="1"/>
          <w:wAfter w:w="19" w:type="dxa"/>
          <w:trHeight w:val="20"/>
          <w:jc w:val="center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71E" w:rsidRPr="00346D5B" w:rsidRDefault="0040471E" w:rsidP="0040471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0471E" w:rsidRPr="00346D5B" w:rsidTr="00346D5B">
        <w:trPr>
          <w:gridAfter w:val="1"/>
          <w:wAfter w:w="19" w:type="dxa"/>
          <w:trHeight w:val="20"/>
          <w:jc w:val="center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71E" w:rsidRPr="00346D5B" w:rsidRDefault="0040471E" w:rsidP="0040471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Інші джерела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300,00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22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Захід 2.1.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Організація та проведення тренінгів, семінарів та консультацій для суб’єктів малого і середнього підприємництва           Сумської МТГ всього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, в т. ч.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20 січня 2022 року в приміщенні Сумського Бізнес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Хабу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в Конгрес-центрі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СумДУ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організовано та проведено семінар на тему «Роз’яснення питань підключення РРО» за участю 53 суб’єктів господарювання. До семінару були залучені представники Головного управління ДПС у Сумській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області, представники АТ «Райффайзен Банк» та АТ КБ «Приватбанк». Питання, які розглядалися: актуальні питання з одноразового добровільного (спеці-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ального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) декларування; особливості кампанії декларування майнового стану та доходів громадян, отриманих у 2021 році; податкові новації – 2022: про використання РРО/ПРРО фізичними особами-підприємцями; інформування про порядок ведення обліку товарних запасів фізичними особами-підприємцями; реєстрація програмних РРО.</w:t>
            </w:r>
          </w:p>
          <w:p w:rsidR="007410A4" w:rsidRPr="00346D5B" w:rsidRDefault="007410A4" w:rsidP="007410A4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Протягом 2023 року Департаментом організовано та проведено 5 семінарів, а саме:</w:t>
            </w:r>
          </w:p>
          <w:p w:rsidR="007410A4" w:rsidRPr="00346D5B" w:rsidRDefault="007410A4" w:rsidP="007410A4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- спільно з представниками Головного управління ДПС у Сумській області та керівником управління забезпечення реалізації повноважень у Сумській області Фонду державного майна 02 березня 2023 року в Конгрес-центрі </w:t>
            </w:r>
            <w:proofErr w:type="spellStart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СумДУ</w:t>
            </w:r>
            <w:proofErr w:type="spellEnd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на тему: «Основні питання оподаткування для фізичних осіб підприємців у період дії воєнного стану». У заході взяли участь 25 підприємців СМТГ;</w:t>
            </w:r>
          </w:p>
          <w:p w:rsidR="007410A4" w:rsidRPr="00346D5B" w:rsidRDefault="007410A4" w:rsidP="007410A4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- спільно з Центром інформаційної підтримки бізнесу в приміщенні Сумського Бізнес </w:t>
            </w:r>
            <w:proofErr w:type="spellStart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Хабу</w:t>
            </w:r>
            <w:proofErr w:type="spellEnd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16 березня 2023 року організований та проведений семінар на тему «Міжнародні інтернет-площадки для українських виробників авторського товару».  Семінар складався з 2-х панелей: «Подолання фінансових, логістичних та технічних перешкод для продажів на міжнародних інтернет-площадках»; «Маленькі таємниці </w:t>
            </w:r>
            <w:proofErr w:type="spellStart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Etsy</w:t>
            </w:r>
            <w:proofErr w:type="spellEnd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для великих продажів». В семінарі взяли участь 37 представників бізнесу СМТГ;</w:t>
            </w:r>
          </w:p>
          <w:p w:rsidR="007410A4" w:rsidRPr="00346D5B" w:rsidRDefault="007410A4" w:rsidP="007410A4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- 19 квітня спільно з Головним управлінням </w:t>
            </w:r>
            <w:proofErr w:type="spellStart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Держпродспоживслужби</w:t>
            </w:r>
            <w:proofErr w:type="spellEnd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в Сумський області організований семінар для суб’єктів ресторанного господарства на тему «Контроль над тютюном, зміни до законодавства», на якому були висвітлені питання проведення заходів державного контролю </w:t>
            </w:r>
            <w:proofErr w:type="spellStart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антитютюнового</w:t>
            </w:r>
            <w:proofErr w:type="spellEnd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законодавства на період дії воєнного стану. В заході взяли участь 30 суб’єктів господарювання;</w:t>
            </w:r>
          </w:p>
          <w:p w:rsidR="007410A4" w:rsidRPr="00346D5B" w:rsidRDefault="007410A4" w:rsidP="007410A4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-  09 червня спільно з Головним управлінням </w:t>
            </w:r>
            <w:proofErr w:type="spellStart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Держпродспоживслужби</w:t>
            </w:r>
            <w:proofErr w:type="spellEnd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в Сумський області організований семінар для суб’єктів торговельного обслуговування  на тему  «Зміни  до    законодавства,</w:t>
            </w:r>
          </w:p>
          <w:p w:rsidR="007410A4" w:rsidRPr="00346D5B" w:rsidRDefault="007410A4" w:rsidP="007410A4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яке регулює діяльність суб’єктів господарювання в частині рекламування окремих видів продукції, ціноутворення та повірки засобів вимірювання», на якому були висвітлені питання: заборона рекламування тютюнових виробів, кальянів, електронних сигарет, пристроїв для споживання електронних сигарет; особливості реклами алкогольних напоїв; державне регулювання цін на основні продукти харчування в умовах воєнного стану; питання повірки засобів вимірювальної техніки в умовах воєнного стану. В заході взяли участь 28 суб’єктів господарювання;</w:t>
            </w:r>
          </w:p>
          <w:p w:rsidR="007410A4" w:rsidRPr="00346D5B" w:rsidRDefault="007410A4" w:rsidP="007410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- 20 вересня 2023 року Департаментом спільно з Головним управлінням Державної податкової служби у Сумській області організований семінар для суб’єктів господарювання, що працюють у сфері торгівлі, громадського харчування та послуг, зокрема фізичні особи – підприємці 2-4 групи, які з 01 січня 2022 року повинні були зареєструвати реєстратори розрахункових операцій (РРО). На семінарі були висвітлені та обговорені наступні питання: про застосування  РРО/ПРРО – новації та вимоги податкового законодавства; п</w:t>
            </w:r>
            <w:r w:rsidRPr="00346D5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ро надання  електронних довірчих послуг; про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інформаційну взаємодію Головного управління  ДПС у Сумській області з органами місцевого самоврядування Сумської міської територіальної громади. У семінарі взяли участь 93 представника бізнесу Сумської міської територіальної громади.</w:t>
            </w:r>
          </w:p>
          <w:p w:rsidR="007410A4" w:rsidRPr="00346D5B" w:rsidRDefault="007410A4" w:rsidP="007410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</w:rPr>
              <w:t>В умовах воєнного часу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 метою економії коштів Сумської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МТГ, була відсутня потреба у проведенні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платних семінарів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, навчань, консультацій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</w:rPr>
              <w:t>з питань розвитку підприємництва, які були заплановані на 2024 рік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162,00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5,00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5,00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267"/>
          <w:jc w:val="center"/>
        </w:trPr>
        <w:tc>
          <w:tcPr>
            <w:tcW w:w="33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300,00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162,00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162,00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5,00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5,00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157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176"/>
          <w:jc w:val="center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Інші джерела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Захід 2.2.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Організаційна та інформаційна підтримка,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співорганізація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та участь у проведенні круглих столів, форумів, виставок, конференцій та інших заходів з питань розвитку підприємництва, інвестицій, кластерних ініціатив для суб’єктів малого і середнього підприємництва  на території  Сумської МТГ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всього, в т. ч.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 умовах війни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внаслідок повномасштабної військової агресії зі сторони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рф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проти України заходи в 2022 році не проводились.</w:t>
            </w:r>
          </w:p>
          <w:p w:rsidR="007410A4" w:rsidRPr="00346D5B" w:rsidRDefault="007410A4" w:rsidP="007410A4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  <w:lang w:val="uk-UA"/>
              </w:rPr>
              <w:t xml:space="preserve">Протягом </w:t>
            </w:r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2023 року Департаментом організовано та проведено 3 круглих столи, а саме:</w:t>
            </w:r>
          </w:p>
          <w:p w:rsidR="007410A4" w:rsidRPr="00346D5B" w:rsidRDefault="007410A4" w:rsidP="007410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18"/>
              </w:tabs>
              <w:spacing w:line="240" w:lineRule="auto"/>
              <w:ind w:left="0" w:hanging="2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46D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квітня Департамент спільно з Сумською торгово-промисловою палатою в рамках цільової Програми підтримки малого і середнього підприємництва Сумської МТГ на 2022-2024 роки провів Круглий стіл на тему «Потреби бізнесу Сумської МТГ в залученні коштів від донорських організацій» з питань надання представникам бізнесу корисної інформації щодо участі в грантових програмах, ознайомлення з актуальними грантовими можливостями, висвітлення особливостей складання бізнес-плану, а також обговорення досвіду, планів і потреб учасників у залученні грантових коштів, за участю 33 суб’єктів господарювання;</w:t>
            </w:r>
          </w:p>
          <w:p w:rsidR="007410A4" w:rsidRPr="00346D5B" w:rsidRDefault="007410A4" w:rsidP="007410A4">
            <w:pPr>
              <w:pStyle w:val="a3"/>
              <w:numPr>
                <w:ilvl w:val="0"/>
                <w:numId w:val="1"/>
              </w:numPr>
              <w:tabs>
                <w:tab w:val="num" w:pos="118"/>
              </w:tabs>
              <w:spacing w:line="240" w:lineRule="auto"/>
              <w:ind w:left="-2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протягом листопада організовано та проведено дві зустрічі з представниками бізнесу в форматі Круглого столу з керівництвом Сумської філії Сумського обласного центру зайнятості стосовно діючих активних Програм для відновлення, підтримки і розвитку бізнесу; роз’яснення питань отримання компенсації за новостворені робочі місця, підтримки в пошуку працівників та документального оформлення працівників для Сумського бізнесу, а саме: 02.11.2023 в Сумському Бізнес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Хабі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за участю 17 представників бізнесу; 28.11.2023 спільно з Сумською торгово-промисловою палатою за участю 18 суб’єктів підприємництва. </w:t>
            </w:r>
          </w:p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Довели до відома підприємців 24 інформацій про: можливість взяти участь у виставках, бізнес-форумах, семінарах, у тому числі в онлайн-форматі; грантову допомогу; участь в конкурсі на отримання допомоги або пільгових кредитів; участь в конкурсі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мікрогрантів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; участь в міжнародних конкурсах та заходах; встановлення партнерських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зв’язків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з підприємствами та містами інших країн світу; безкоштовне консультування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міжнародною командою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Агенції з питань бізнесу та економічного розвитку Федерального міністерства економічного співробітництва та розвитку Німеччини;</w:t>
            </w:r>
            <w:r w:rsidRPr="00346D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продовження роботи проєкту Бізнес-Акселератору.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Крім того, опрацьована з місцевим бізнесом </w:t>
            </w:r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інформація Сумського обласного центру зайнятості стосовно запровадженої  Урядом Державної програми надання </w:t>
            </w:r>
            <w:proofErr w:type="spellStart"/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>мікрогрантів</w:t>
            </w:r>
            <w:proofErr w:type="spellEnd"/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створення або розвиток власного бізнесу, яка затверджена постановою Кабінету Міністрів України від 21.06.2022 № 738. Програма розрахована на </w:t>
            </w:r>
            <w:proofErr w:type="spellStart"/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>субʼєктів</w:t>
            </w:r>
            <w:proofErr w:type="spellEnd"/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мікро- чи малого підприємництва, а також на громадян України, які мають намір розпочати підприємницьку діяльність.</w:t>
            </w:r>
          </w:p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Департаментом протягом 2024 року організовано виконання заходів, передбачених Програмою. Так, спільно з місцевими виробниками, за участю Сумської міської військової адміністрації </w:t>
            </w:r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29 березня 2024 року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проведено засідання Круглого столу з розгляду актуальних питань, які турбували місцевого виробника та підприємців Сумської МТГ; можливих шляхів їх вирішення; напрямків співпраці органів місцевої влади та бізнесу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01 вересня 2024 року Департаментом взято участь в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організації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проведення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загальноміської виставки «Все буде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крафтово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Актуальна інформація стосовно особливостей роботи малого і середнього бізнесу Сумської МТГ в умовах воєнного стану постійно розміщувалась на офіційному сайті Сумської міської ради  та розсилалась Департаментом електронною поштою членам координаційної ради з питань розвитку підприємництва, на електронні адреси суб’єктів господарювання (298 отримувачів). Так, д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овели до відома підприємців </w:t>
            </w:r>
            <w:r w:rsidRPr="00346D5B">
              <w:rPr>
                <w:rFonts w:ascii="Times New Roman" w:eastAsia="Calibri" w:hAnsi="Times New Roman" w:cs="Times New Roman"/>
                <w:sz w:val="18"/>
                <w:szCs w:val="18"/>
              </w:rPr>
              <w:t>29 інформацій про міжнародні програми, конкурси та гранти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750,00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450,00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152,00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152,00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34,798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34,798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131"/>
          <w:jc w:val="center"/>
        </w:trPr>
        <w:tc>
          <w:tcPr>
            <w:tcW w:w="33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450,00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450,00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152,00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152,00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34,798</w:t>
            </w:r>
          </w:p>
        </w:tc>
        <w:tc>
          <w:tcPr>
            <w:tcW w:w="992" w:type="dxa"/>
          </w:tcPr>
          <w:p w:rsidR="007410A4" w:rsidRPr="00346D5B" w:rsidRDefault="007410A4" w:rsidP="007410A4"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34,798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195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60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Захід 2.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Співпраця з Сумським Бізнес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Хабом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щодо проведення семінарів, конференцій, форумів, круглих столів та інших заходів Сумської МТГ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всього, в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ч.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Протягом 2022 року у приміщенні Сумського Бізнес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Хабу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, створеного за участю Сумської міської ради, проведено 68 заходів, до яких було залучено 1245 суб’єктів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госпо-дарювання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зокрема: конференція компанії «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Amway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»; тренінги компанії «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Glovo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»; засідання «Клубу Ділових Людей»; семінари менеджерів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б'юті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-індустрії; робочі зустрічі менеджерів магазинів одягу; нарада Сумського осередку АФНУ (ріелтори); нарада Ощадбанку; 6 нарад промисловців міста; 7 нарад з підприємцями; 3 робочі зустрічі створеного Машинобудівного кластеру; збори ради підприємців; наради підприємців з економічного розвитку регіону та з відновлення економіки; наради представників торгівельних мереж; наради експертів по економічній стратегії та енергоефективності області; обговорення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інвест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-програми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Сумиобленерго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; робоча зустріч щодо діяльності індустріальних парків області; зустріч з підприємцями з питань компенсації пошкоджень; наради щодо підтримки місцевого бізнесу, бізнесу з податківцями, з керівниками промислових підприємств; відбір сумських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проєктів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програмою відновлення України; 11 навчань бізнесу за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проєктом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SURE; нарада з підприємцями з питань використання електроенергії на промислових підприємствах; 4 засідання клубу ділових людей; круглий стіл «Експортне фінансування: доступні можливості та перспективи розвитку». Протягом 2022 року суб'єктам господарювання доводилась інформація про можливість участі у 24 заходах (бізнес-форуми, семінари,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конферен-ції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в тому числі, в онлайн форматі).</w:t>
            </w:r>
          </w:p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ar-S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Протягом 2023 року у приміщенні Сумського Бізнес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Хабу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проведено 28 заходів, до яких було залучено 728 суб’єктів господарювання зокрема: зустріч з підприємцями з питань компенсації пошкоджень; зустріч з підприємцями з питань звільнення від сплати податку за землю; вручення підприємцям дипломів по завершенню курсу SURE; семінар для підприємців з питань оподаткування; семінар по E-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commerce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; засідання Ради підприємців; консультації для підприємців з питань бухгалтерської звітності та ведення бухгалтерського обліку; форум «Органічне виробництво, вимоги до продукції»; консультації для бізнесу в рамках проєкту міжнародної ініціативи «Стійкість ділової активності українського бізнесу»; тренінг асоціації ріелторів міста Суми; </w:t>
            </w:r>
            <w:r w:rsidRPr="00346D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круглий стіл представників бізнесу та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Сумської філії Сумського обласного центру зайнятості</w:t>
            </w:r>
            <w:r w:rsidRPr="00346D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робоча зустріч з </w:t>
            </w:r>
            <w:proofErr w:type="spellStart"/>
            <w:r w:rsidRPr="00346D5B">
              <w:rPr>
                <w:rFonts w:ascii="Times New Roman" w:eastAsia="Calibri" w:hAnsi="Times New Roman" w:cs="Times New Roman"/>
                <w:sz w:val="18"/>
                <w:szCs w:val="18"/>
              </w:rPr>
              <w:t>агровиробниками</w:t>
            </w:r>
            <w:proofErr w:type="spellEnd"/>
            <w:r w:rsidRPr="00346D5B">
              <w:rPr>
                <w:rFonts w:ascii="Times New Roman" w:eastAsia="Calibri" w:hAnsi="Times New Roman" w:cs="Times New Roman"/>
                <w:sz w:val="18"/>
                <w:szCs w:val="18"/>
              </w:rPr>
              <w:t>; тренінг з проектного менеджменту; семінар для ріелторів міста.</w:t>
            </w:r>
          </w:p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 w:eastAsia="ar-SA"/>
              </w:rPr>
              <w:t>Протягом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2024 року у приміщенні Сумського Бізнес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Хабу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проведено 36 заходів, до яких було залучено 973 суб’єкта господарювання зокрема: засідання ради підприємців; нарада з підприємцями-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крафтовиками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; нарада підприємців-аграріїв; круглий стіл «Концептуальні питання забезпечення зайнятості жінок»; робота фокус-груп з підприємцями; семінар з питань психологічних аспектів запровадження інновацій в бізнесі; семінар з юридичних питань для підприємців міста; семінар з стратегічного планування; семінар з електронної комерції; семінар «Використання інструментів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  <w:t>Big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  <w:t>Data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в бізнесі»;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офлайн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-захід «Групові консультації» в межах міжнародного проєкту «Стійкість ділової активності українського бізнесу»; семінар по грантовим програмам; семінар з юридичних питань для жінок-підприємців; тренінг для жінок та молоді з підприємництва ВПО; тренінги з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проєктного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менеджменту; підписання меморандуму між підприємцями та Сумською обласною державною адміністрацією та ін.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Захід 2.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. Забезпечення функціонування координаційної ради з питань розвитку підприємництва, створеної при Сумській міській раді всього, в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. за джерелами фінансування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Зважаючи на введення воєнного стану в країні, засідання координаційної ради з питань розвитку підприємництва в 2022 році не проводились. Актуальна інформація стосовно особливостей роботи малого і середнього бізнесу  Сумської МТГ в умовах воєнного стану постійно розміщується на офіційному сайті Сумської міської ради  та розсилається департаментом електронною поштою членам координаційної ради з питань розвитку підприємництва, на електронні адреси суб’єктів господарювання (278 отримувачів) та розміщується в мережі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Facebook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Протягом 2023 року проведено чотири засідання координаційної ради з питань розвитку підприємництва.</w:t>
            </w:r>
          </w:p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Протягом 2024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року проведено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одне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засідання координаційної ради з питань розвитку підприємництва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на якому були розглянуті найбільш актуальні питання бізнесу та створена розпорядженням міського голови від 10.07.2024              № 210-Р робоча група з підготовки проєкту цільової Програми підтримки підприємництва Сумської міської територіальної громади на 2025-2027 роки 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80"/>
          <w:jc w:val="center"/>
        </w:trPr>
        <w:tc>
          <w:tcPr>
            <w:tcW w:w="33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16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FDB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FDB" w:rsidRPr="00346D5B" w:rsidRDefault="00A10FDB" w:rsidP="00A10F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Завдання 3. Надання фінансової підтримки на розвиток малого і середнього підприємництва всього, в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DB" w:rsidRPr="00346D5B" w:rsidRDefault="00A10FDB" w:rsidP="00A10FDB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DB" w:rsidRPr="00346D5B" w:rsidRDefault="00A10FDB" w:rsidP="00A10FDB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A10FDB" w:rsidRPr="00346D5B" w:rsidRDefault="00A10FDB" w:rsidP="00A10F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3710,00</w:t>
            </w:r>
          </w:p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3710,00</w:t>
            </w:r>
          </w:p>
        </w:tc>
        <w:tc>
          <w:tcPr>
            <w:tcW w:w="699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1430,00</w:t>
            </w:r>
          </w:p>
        </w:tc>
        <w:tc>
          <w:tcPr>
            <w:tcW w:w="851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1430,00</w:t>
            </w:r>
          </w:p>
        </w:tc>
        <w:tc>
          <w:tcPr>
            <w:tcW w:w="749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609,593</w:t>
            </w:r>
          </w:p>
        </w:tc>
        <w:tc>
          <w:tcPr>
            <w:tcW w:w="992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609,593</w:t>
            </w:r>
          </w:p>
        </w:tc>
        <w:tc>
          <w:tcPr>
            <w:tcW w:w="656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A10FDB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FDB" w:rsidRPr="00346D5B" w:rsidRDefault="00A10FDB" w:rsidP="00A10FDB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DB" w:rsidRPr="00346D5B" w:rsidRDefault="00A10FDB" w:rsidP="00A10FDB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DB" w:rsidRPr="00346D5B" w:rsidRDefault="00A10FDB" w:rsidP="00A10FDB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A10FDB" w:rsidRPr="00346D5B" w:rsidRDefault="00A10FDB" w:rsidP="00A10F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3710,00</w:t>
            </w:r>
          </w:p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3710,00</w:t>
            </w:r>
          </w:p>
        </w:tc>
        <w:tc>
          <w:tcPr>
            <w:tcW w:w="699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1430,00</w:t>
            </w:r>
          </w:p>
        </w:tc>
        <w:tc>
          <w:tcPr>
            <w:tcW w:w="851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1430,00</w:t>
            </w:r>
          </w:p>
        </w:tc>
        <w:tc>
          <w:tcPr>
            <w:tcW w:w="749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609,593</w:t>
            </w:r>
          </w:p>
        </w:tc>
        <w:tc>
          <w:tcPr>
            <w:tcW w:w="992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609,593</w:t>
            </w:r>
          </w:p>
        </w:tc>
        <w:tc>
          <w:tcPr>
            <w:tcW w:w="656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Захід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3.1. Надання фінансової підтримки суб’єктам малого і середнього підприємництва з бюджету Сумської МТГ  шляхом відшкодування частини відсотків за кредитами, наданими суб’єктам малого і середнього підприємництва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всього, в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Кошти не витрачались. З 25 серпня та з 27 вересня 2022 року департаментом був оголошений конкурс на надання фінансової підтримки суб’єктам малого і середнього підприємництва з бюджету Сумської МТГ відповідно до Порядку надання фінансової підтримки суб’єктам малого і середнього підприємництва з бюджету Сумської МТГ, затвердженого рішенням Сумської міської ради від 18 грудня 2019 року № 6109-МР. Жодної заяви Департаментом не отримано.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1000,00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1000,00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400,00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400,00</w:t>
            </w:r>
          </w:p>
        </w:tc>
        <w:tc>
          <w:tcPr>
            <w:tcW w:w="749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1000,00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1000,00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400,00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400,00</w:t>
            </w:r>
          </w:p>
        </w:tc>
        <w:tc>
          <w:tcPr>
            <w:tcW w:w="749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Захід 3.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Сприяння та підтримка реалізації бізнес-ідей, проведення конкурсу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стартапів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у Сумській міській територіальній громаді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всього, в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Відповідно до затвердженого Порядку використання коштів бюджету Сумської міської територіальної громади для сприяння та підтримки реалізації бізнес-ідей, проведення конкурсу </w:t>
            </w:r>
            <w:proofErr w:type="spellStart"/>
            <w:r w:rsidRPr="00346D5B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>стартапів</w:t>
            </w:r>
            <w:proofErr w:type="spellEnd"/>
            <w:r w:rsidRPr="00346D5B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 у Сумській міській територіальній громаді (рішення Сумської міської ради  від 09 серпня 2023 року № 3995-МР) з 12 вересня 2023 року Департаментом інспекційної роботи Сумської міської ради був об’явлений початок проведення конкурсу, заявки приймалися в термін до                              14 листопада 2023 року включно.</w:t>
            </w:r>
            <w:r w:rsidRPr="00346D5B">
              <w:rPr>
                <w:rFonts w:ascii="Times New Roman" w:hAnsi="Times New Roman" w:cs="Times New Roman"/>
                <w:bCs/>
                <w:spacing w:val="-3"/>
                <w:sz w:val="18"/>
                <w:szCs w:val="18"/>
                <w:lang w:val="uk-UA"/>
              </w:rPr>
              <w:t xml:space="preserve">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24 листопада 2023 року в приміщенні Офісу відновлення та розвитку було проведено засідання Конкурсної Комісії з розгляду поданих 12 учасниками документів.</w:t>
            </w:r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27 листопада 2023 року на засіданні Конкурсної Комісії, відповідно до</w:t>
            </w:r>
            <w:r w:rsidRPr="00346D5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346D5B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результатів оцінювання членами Конкурсної Комісії, переможцями Конкурсу визначено 3 учасників.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В грудні 2023 року трьом переможцям Конкурсу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була перерахована  визначена відповідно до Порядку використання коштів бюджету Сумської міської територіальної громади частина коштів  на реалізацію заявлених ними бізнес- ідей.</w:t>
            </w:r>
          </w:p>
          <w:p w:rsidR="00D77E87" w:rsidRPr="00346D5B" w:rsidRDefault="00D77E87" w:rsidP="00D77E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30 січня 2024 року було проведено засідання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комісії з конкурсного відбору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проєктів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стартапів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, за результатами </w:t>
            </w:r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якого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вирішено надати переможцям Конкурсу 2023 року, другий транш фінансової підтримки у розмірі 50 % від запитуваної суми.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В травні 2024 року здійснена виплата другого траншу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переможцям Конкурсу </w:t>
            </w:r>
            <w:proofErr w:type="spellStart"/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стартапів</w:t>
            </w:r>
            <w:proofErr w:type="spellEnd"/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 Сумській МТГ 2023 року.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13 червня 2024 року представниками Департаменту, за участю членів комісії з конкурсного відбору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проєктів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, створеної відповідно до розпорядження міського голови від 17.11.2023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№ 263-Р «Про створення комісії з конкурсного відбору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проєктів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виконання умов укладених договорів з переможцями Конкурсу 2023 року,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проведене обстеження фактичного стану роботи з реалізації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їх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бізнес-іде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й.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За результатами обстеження виявлено, що переможцями Конкурсу виконані вимоги бізнес-планів, бізнес-ідеї реалізовані,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проєкти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втілені та працюють. Звіт про роботу переможців Конкурсу опублікований на сайті Сумської міської ради та в соціальних мережах. 18.09.2024 та 13.12.2024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представниками Департаменту проведені повторні обстеження фактичного стану роботи з реалізації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бізнес-ідеї переможців Конкурсу 2023 року.</w:t>
            </w:r>
          </w:p>
          <w:p w:rsidR="00D77E87" w:rsidRPr="00346D5B" w:rsidRDefault="00D77E87" w:rsidP="00D77E87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З метою врегулювання порядку надання фінансової підтримки на реалізацію бізнес-ідей та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346D5B">
              <w:rPr>
                <w:rFonts w:ascii="Times New Roman" w:hAnsi="Times New Roman" w:cs="Times New Roman"/>
                <w:color w:val="4D5156"/>
                <w:sz w:val="18"/>
                <w:szCs w:val="18"/>
                <w:shd w:val="clear" w:color="auto" w:fill="FFFFFF"/>
              </w:rPr>
              <w:t xml:space="preserve">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суб’єктам малого і середнього підприємництва з бюджету Сумської міської територіальної громади, наказом Сумської військової адміністрації від 21.05.2024  № 218-СМР внесені зміни до рішення Сумської міської ради від 09.08.2023 № 3995-МР «Про затвердження Порядку використання коштів бюджету Сумської міської територіальної громади для сприяння та підтримки реалізації бізнес-ідей, проведення конкурсу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у Сумській міській територіальній громаді». 29 травня 2024 року на </w:t>
            </w:r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офіційному веб-сайті Сумської міської ради та на сторінках у соціальних мережах було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розміщене оголошення </w:t>
            </w:r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 прийом документів для участі в Конкурсі 2024 року. </w:t>
            </w:r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Заяви на Конкурс приймались Департаментом протягом 60 днів, всього в Конкурсному відборі взяли участь 6 конкурсантів, які продемонстрували презентації власних бізнес-планів членам Конкурсної Комісії на засіданні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19 серпня 2024 року. </w:t>
            </w:r>
            <w:r w:rsidRPr="00346D5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 засіданні Конкурсної Комісії 21 серпня 2024 року було визначено трьох переможців Конкурсу, які набрали найбільшу кількість балів.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Департаментом укладені 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відповідні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Договори з переможцями Конкурсу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, в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жовтні 2024 року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переможцям Конкурсу </w:t>
            </w:r>
            <w:proofErr w:type="spellStart"/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стартапів</w:t>
            </w:r>
            <w:proofErr w:type="spellEnd"/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 Сумській МТГ 2024 року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здійснена виплата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фінансової підтримки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2280,00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2280,00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780,00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609,593</w:t>
            </w:r>
          </w:p>
        </w:tc>
        <w:tc>
          <w:tcPr>
            <w:tcW w:w="992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609,593</w:t>
            </w:r>
          </w:p>
        </w:tc>
        <w:tc>
          <w:tcPr>
            <w:tcW w:w="656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18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2280,00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2280,00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780,00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609,593</w:t>
            </w:r>
          </w:p>
        </w:tc>
        <w:tc>
          <w:tcPr>
            <w:tcW w:w="992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609,593</w:t>
            </w:r>
          </w:p>
        </w:tc>
        <w:tc>
          <w:tcPr>
            <w:tcW w:w="656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109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18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Захід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3.3.  Надання компенсації роботодавцям витрат зі сплати єдиного соціального внеску на загально-обов’язкове державне соціальне страхування за новостворені робочі місця з бюджету Сумської МТГ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всього, в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Кошти не витрачались. Захід передбачає компенсацію витрат зі сплати єдиного соціального внеску (ЄСВ) на загальнообов’язкове державне соціальне страхування за кожного нового найманого працівника, починаючи з місяця, в якому його було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працевлаштовано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був оголошений прийом департаментом відповідних заяв для отримання компенсації. Звернень щодо отримання  вказаної компенсації від суб’єктів господарювання не надходило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430,00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250,00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59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430,00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250,00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53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185FE2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5FE2" w:rsidRPr="00346D5B" w:rsidRDefault="00185FE2" w:rsidP="00185F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Завдання 4. Популяризація сфери підприємництва та організація проведення іміджевих заходів Сумської МТГ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всього, в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E2" w:rsidRPr="00346D5B" w:rsidRDefault="00185FE2" w:rsidP="00185FE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E2" w:rsidRPr="00346D5B" w:rsidRDefault="00185FE2" w:rsidP="00185FE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750,00</w:t>
            </w:r>
          </w:p>
        </w:tc>
        <w:tc>
          <w:tcPr>
            <w:tcW w:w="851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750,00</w:t>
            </w:r>
          </w:p>
        </w:tc>
        <w:tc>
          <w:tcPr>
            <w:tcW w:w="699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266,00</w:t>
            </w:r>
          </w:p>
        </w:tc>
        <w:tc>
          <w:tcPr>
            <w:tcW w:w="851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266,00</w:t>
            </w:r>
          </w:p>
        </w:tc>
        <w:tc>
          <w:tcPr>
            <w:tcW w:w="749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6,86</w:t>
            </w:r>
          </w:p>
        </w:tc>
        <w:tc>
          <w:tcPr>
            <w:tcW w:w="992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6,86</w:t>
            </w:r>
          </w:p>
        </w:tc>
        <w:tc>
          <w:tcPr>
            <w:tcW w:w="656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185FE2" w:rsidRPr="00346D5B" w:rsidTr="00346D5B">
        <w:trPr>
          <w:gridAfter w:val="1"/>
          <w:wAfter w:w="19" w:type="dxa"/>
          <w:trHeight w:val="58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FE2" w:rsidRPr="00346D5B" w:rsidRDefault="00185FE2" w:rsidP="00185FE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E2" w:rsidRPr="00346D5B" w:rsidRDefault="00185FE2" w:rsidP="00185FE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E2" w:rsidRPr="00346D5B" w:rsidRDefault="00185FE2" w:rsidP="00185FE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750,00</w:t>
            </w:r>
          </w:p>
        </w:tc>
        <w:tc>
          <w:tcPr>
            <w:tcW w:w="851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750,00</w:t>
            </w:r>
          </w:p>
        </w:tc>
        <w:tc>
          <w:tcPr>
            <w:tcW w:w="699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266,00</w:t>
            </w:r>
          </w:p>
        </w:tc>
        <w:tc>
          <w:tcPr>
            <w:tcW w:w="851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266,00</w:t>
            </w:r>
          </w:p>
        </w:tc>
        <w:tc>
          <w:tcPr>
            <w:tcW w:w="749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6,86</w:t>
            </w:r>
          </w:p>
        </w:tc>
        <w:tc>
          <w:tcPr>
            <w:tcW w:w="992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6,86</w:t>
            </w:r>
          </w:p>
        </w:tc>
        <w:tc>
          <w:tcPr>
            <w:tcW w:w="656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193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185FE2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185FE2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185FE2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173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185FE2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185FE2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185FE2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Захід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4.1. Проведення фестивалю вуличної їжі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всього,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Кошти не витрачались. В умовах війни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внаслідок повномасштабної військової агресії зі сторони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рф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проти України заходи протягом 2022-2024 років не проводились.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300,00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60,00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4350CA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4350CA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4350CA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350CA" w:rsidRPr="00346D5B" w:rsidTr="00346D5B">
        <w:trPr>
          <w:gridAfter w:val="1"/>
          <w:wAfter w:w="19" w:type="dxa"/>
          <w:trHeight w:val="111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300,00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300,00</w:t>
            </w:r>
          </w:p>
        </w:tc>
        <w:tc>
          <w:tcPr>
            <w:tcW w:w="69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60,00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60,00</w:t>
            </w:r>
          </w:p>
        </w:tc>
        <w:tc>
          <w:tcPr>
            <w:tcW w:w="74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350CA" w:rsidRPr="00346D5B" w:rsidTr="00346D5B">
        <w:trPr>
          <w:gridAfter w:val="1"/>
          <w:wAfter w:w="19" w:type="dxa"/>
          <w:trHeight w:val="18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350CA" w:rsidRPr="00346D5B" w:rsidTr="00346D5B">
        <w:trPr>
          <w:gridAfter w:val="1"/>
          <w:wAfter w:w="19" w:type="dxa"/>
          <w:trHeight w:val="213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Захід 4.2. Організація та проведення урочистих заходів з нагоди Дня підприємця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всього,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Кошти в 2022 році не витрачались. У вересні 2022 року, з нагоди Дня підприємця, Департаментом організовано проведення урочистої церемонії нагородження грамотою міського голови 22-ох кращих представників бізнесу міста Суми.</w:t>
            </w:r>
          </w:p>
          <w:p w:rsidR="00D77E87" w:rsidRPr="00346D5B" w:rsidRDefault="00D77E87" w:rsidP="00D77E8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В 2023 році </w:t>
            </w:r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Департаментом інспекційної роботи Сумської міської ради підготовлені та проведені урочисті заходи з нагоди Дня підприємця. Церемонія нагородження кращих підприємців (9 осіб) Сумським міським головою відбулась 2 вересня 2023 року під час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проведення урочистих заходів святкування Дня міста.</w:t>
            </w:r>
          </w:p>
          <w:p w:rsidR="00D77E87" w:rsidRPr="00346D5B" w:rsidRDefault="00D77E87" w:rsidP="00D77E8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 2024 році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Департаментом спільно з бізнес-асоціаціями міста взято участь в організації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проведення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загальноміської виставки «Все буде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крафтово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» та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урочистих заходів з нагоди Дня підприємця. Захід був проведений 01</w:t>
            </w:r>
            <w:r w:rsidRPr="00346D5B">
              <w:rPr>
                <w:rFonts w:ascii="Times New Roman" w:hAnsi="Times New Roman" w:cs="Times New Roman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вересня 2024 року </w:t>
            </w:r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 локації «</w:t>
            </w:r>
            <w:proofErr w:type="spellStart"/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Tribuna</w:t>
            </w:r>
            <w:proofErr w:type="spellEnd"/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Park</w:t>
            </w:r>
            <w:proofErr w:type="spellEnd"/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», розміщеної на території стадіону «Ювілейний».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нагоди Дня підприємця були нагороджені грамотами Сумського міського голови 12 представників бізнесу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450,00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206,00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206,00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4350CA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6,86</w:t>
            </w:r>
          </w:p>
        </w:tc>
        <w:tc>
          <w:tcPr>
            <w:tcW w:w="992" w:type="dxa"/>
          </w:tcPr>
          <w:p w:rsidR="00D77E87" w:rsidRPr="00346D5B" w:rsidRDefault="004350CA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6,86</w:t>
            </w:r>
          </w:p>
        </w:tc>
        <w:tc>
          <w:tcPr>
            <w:tcW w:w="656" w:type="dxa"/>
          </w:tcPr>
          <w:p w:rsidR="00D77E87" w:rsidRPr="00346D5B" w:rsidRDefault="004350CA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14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450,00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206,00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206,00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4350CA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6,86</w:t>
            </w:r>
          </w:p>
        </w:tc>
        <w:tc>
          <w:tcPr>
            <w:tcW w:w="992" w:type="dxa"/>
          </w:tcPr>
          <w:p w:rsidR="00D77E87" w:rsidRPr="00346D5B" w:rsidRDefault="004350CA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6,86</w:t>
            </w:r>
          </w:p>
        </w:tc>
        <w:tc>
          <w:tcPr>
            <w:tcW w:w="656" w:type="dxa"/>
          </w:tcPr>
          <w:p w:rsidR="00D77E87" w:rsidRPr="00346D5B" w:rsidRDefault="004350CA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350CA" w:rsidRPr="00346D5B" w:rsidTr="00346D5B">
        <w:trPr>
          <w:gridAfter w:val="1"/>
          <w:wAfter w:w="19" w:type="dxa"/>
          <w:trHeight w:val="22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350CA" w:rsidRPr="00346D5B" w:rsidTr="00346D5B">
        <w:trPr>
          <w:gridAfter w:val="1"/>
          <w:wAfter w:w="19" w:type="dxa"/>
          <w:trHeight w:val="112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350CA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Завдання 5. Вивчення передового  практичного досвіду інших міст України, розвиток міжнародного співробітництва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всього,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</w:p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250,00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150,00</w:t>
            </w:r>
          </w:p>
        </w:tc>
        <w:tc>
          <w:tcPr>
            <w:tcW w:w="69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  <w:tc>
          <w:tcPr>
            <w:tcW w:w="74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191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150,00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1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13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Захід 5.1. Організація участі делегацій міста Суми (представників  підприємств, фізичних осіб-підприємців, представників громадських об’єднань, організацій, коаліцій бізнесу) у міжнародних та українських заходах економічного та інвестиційного спрямування з метою вивчення передового практичного досвіду інших міст України та іноземного досвіду щодо форм підтримки суб’єктів малого і середнього підприємництва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всього,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3117610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В умовах війни внаслідок повномасштабної військової агресії зі сторони </w:t>
            </w:r>
            <w:proofErr w:type="spellStart"/>
            <w:r w:rsidRPr="00346D5B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рф</w:t>
            </w:r>
            <w:proofErr w:type="spellEnd"/>
            <w:r w:rsidRPr="00346D5B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проти України заходи не проводились.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150,00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159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150,00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4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</w:tbl>
    <w:p w:rsidR="00EF5CEB" w:rsidRPr="00346D5B" w:rsidRDefault="00EF5CEB" w:rsidP="007F4BCA">
      <w:pPr>
        <w:pStyle w:val="a6"/>
        <w:spacing w:before="0"/>
        <w:ind w:firstLine="0"/>
        <w:jc w:val="both"/>
        <w:rPr>
          <w:rFonts w:ascii="Times New Roman" w:hAnsi="Times New Roman"/>
          <w:b/>
          <w:szCs w:val="26"/>
        </w:rPr>
      </w:pPr>
    </w:p>
    <w:p w:rsidR="00724F73" w:rsidRPr="00346D5B" w:rsidRDefault="00724F73" w:rsidP="007F4BCA">
      <w:pPr>
        <w:pStyle w:val="a6"/>
        <w:spacing w:before="0"/>
        <w:ind w:firstLine="0"/>
        <w:jc w:val="both"/>
        <w:rPr>
          <w:rFonts w:ascii="Times New Roman" w:hAnsi="Times New Roman"/>
          <w:b/>
          <w:szCs w:val="26"/>
        </w:rPr>
      </w:pPr>
    </w:p>
    <w:p w:rsidR="007F4BCA" w:rsidRPr="00346D5B" w:rsidRDefault="007F4BCA" w:rsidP="007F4BCA">
      <w:pPr>
        <w:pStyle w:val="a6"/>
        <w:spacing w:before="0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346D5B">
        <w:rPr>
          <w:rFonts w:ascii="Times New Roman" w:hAnsi="Times New Roman"/>
          <w:b/>
          <w:sz w:val="24"/>
          <w:szCs w:val="24"/>
        </w:rPr>
        <w:t>Директор Департаменту</w:t>
      </w:r>
    </w:p>
    <w:p w:rsidR="007F4BCA" w:rsidRPr="00346D5B" w:rsidRDefault="007F4BCA" w:rsidP="007F4BCA">
      <w:pPr>
        <w:pStyle w:val="a6"/>
        <w:spacing w:before="0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346D5B">
        <w:rPr>
          <w:rFonts w:ascii="Times New Roman" w:hAnsi="Times New Roman"/>
          <w:b/>
          <w:sz w:val="24"/>
          <w:szCs w:val="24"/>
        </w:rPr>
        <w:t xml:space="preserve">інспекційної роботи </w:t>
      </w:r>
    </w:p>
    <w:p w:rsidR="000A5B79" w:rsidRPr="006A5738" w:rsidRDefault="007F4BCA" w:rsidP="007F4BCA">
      <w:pPr>
        <w:pStyle w:val="a6"/>
        <w:spacing w:before="0"/>
        <w:ind w:firstLine="0"/>
        <w:jc w:val="both"/>
        <w:rPr>
          <w:sz w:val="24"/>
          <w:szCs w:val="24"/>
        </w:rPr>
      </w:pPr>
      <w:r w:rsidRPr="00346D5B">
        <w:rPr>
          <w:rFonts w:ascii="Times New Roman" w:hAnsi="Times New Roman"/>
          <w:b/>
          <w:sz w:val="24"/>
          <w:szCs w:val="24"/>
        </w:rPr>
        <w:t xml:space="preserve">Сумської міської ради </w:t>
      </w:r>
      <w:r w:rsidRPr="00346D5B">
        <w:rPr>
          <w:rFonts w:ascii="Times New Roman" w:hAnsi="Times New Roman"/>
          <w:b/>
          <w:sz w:val="24"/>
          <w:szCs w:val="24"/>
        </w:rPr>
        <w:tab/>
      </w:r>
      <w:r w:rsidRPr="00346D5B">
        <w:rPr>
          <w:rFonts w:ascii="Times New Roman" w:hAnsi="Times New Roman"/>
          <w:b/>
          <w:sz w:val="24"/>
          <w:szCs w:val="24"/>
        </w:rPr>
        <w:tab/>
      </w:r>
      <w:r w:rsidRPr="00346D5B">
        <w:rPr>
          <w:rFonts w:ascii="Times New Roman" w:hAnsi="Times New Roman"/>
          <w:b/>
          <w:sz w:val="24"/>
          <w:szCs w:val="24"/>
        </w:rPr>
        <w:tab/>
      </w:r>
      <w:r w:rsidRPr="00346D5B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</w:t>
      </w:r>
      <w:r w:rsidR="00A86EB3" w:rsidRPr="00346D5B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6A5738" w:rsidRPr="00346D5B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346D5B">
        <w:rPr>
          <w:rFonts w:ascii="Times New Roman" w:hAnsi="Times New Roman"/>
          <w:b/>
          <w:sz w:val="24"/>
          <w:szCs w:val="24"/>
        </w:rPr>
        <w:t>Максим ЗЕЛЕНСЬКИЙ</w:t>
      </w:r>
    </w:p>
    <w:sectPr w:rsidR="000A5B79" w:rsidRPr="006A5738" w:rsidSect="00890D63">
      <w:pgSz w:w="16834" w:h="11909" w:orient="landscape"/>
      <w:pgMar w:top="1418" w:right="566" w:bottom="851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8A3"/>
    <w:multiLevelType w:val="hybridMultilevel"/>
    <w:tmpl w:val="AFACC8F8"/>
    <w:lvl w:ilvl="0" w:tplc="54E2CE10">
      <w:start w:val="20"/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  <w:lang w:val="uk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03"/>
    <w:rsid w:val="00001D28"/>
    <w:rsid w:val="0000361C"/>
    <w:rsid w:val="000163F9"/>
    <w:rsid w:val="00025EB6"/>
    <w:rsid w:val="00032F01"/>
    <w:rsid w:val="00044703"/>
    <w:rsid w:val="00046BFA"/>
    <w:rsid w:val="000506BC"/>
    <w:rsid w:val="00050A3A"/>
    <w:rsid w:val="00083C59"/>
    <w:rsid w:val="0008478F"/>
    <w:rsid w:val="000A5B79"/>
    <w:rsid w:val="000C6627"/>
    <w:rsid w:val="000D48ED"/>
    <w:rsid w:val="000E216E"/>
    <w:rsid w:val="000E749A"/>
    <w:rsid w:val="000F5BE8"/>
    <w:rsid w:val="001002A4"/>
    <w:rsid w:val="00102AA6"/>
    <w:rsid w:val="0011468A"/>
    <w:rsid w:val="00117A75"/>
    <w:rsid w:val="00120E44"/>
    <w:rsid w:val="001278D6"/>
    <w:rsid w:val="001318E7"/>
    <w:rsid w:val="0016194C"/>
    <w:rsid w:val="001710B6"/>
    <w:rsid w:val="00185FE2"/>
    <w:rsid w:val="00196220"/>
    <w:rsid w:val="001A0128"/>
    <w:rsid w:val="001E604B"/>
    <w:rsid w:val="001E7BEF"/>
    <w:rsid w:val="00215532"/>
    <w:rsid w:val="002455B4"/>
    <w:rsid w:val="00257A1B"/>
    <w:rsid w:val="00265D45"/>
    <w:rsid w:val="002A707C"/>
    <w:rsid w:val="002B707B"/>
    <w:rsid w:val="002C1329"/>
    <w:rsid w:val="002C4DC5"/>
    <w:rsid w:val="002D6C47"/>
    <w:rsid w:val="002D7A51"/>
    <w:rsid w:val="002E28B9"/>
    <w:rsid w:val="00307418"/>
    <w:rsid w:val="00307FDA"/>
    <w:rsid w:val="00346D5B"/>
    <w:rsid w:val="00375584"/>
    <w:rsid w:val="0038302C"/>
    <w:rsid w:val="003920ED"/>
    <w:rsid w:val="003E6A47"/>
    <w:rsid w:val="003F6B8C"/>
    <w:rsid w:val="004003F4"/>
    <w:rsid w:val="0040471E"/>
    <w:rsid w:val="00406A76"/>
    <w:rsid w:val="004350CA"/>
    <w:rsid w:val="00445DB6"/>
    <w:rsid w:val="00482191"/>
    <w:rsid w:val="004866E0"/>
    <w:rsid w:val="0049221D"/>
    <w:rsid w:val="004977FB"/>
    <w:rsid w:val="004A60EB"/>
    <w:rsid w:val="004C40D6"/>
    <w:rsid w:val="004C4221"/>
    <w:rsid w:val="004C6058"/>
    <w:rsid w:val="004D233E"/>
    <w:rsid w:val="004E61A4"/>
    <w:rsid w:val="004F2917"/>
    <w:rsid w:val="004F2E02"/>
    <w:rsid w:val="005000E3"/>
    <w:rsid w:val="005203FC"/>
    <w:rsid w:val="005216CE"/>
    <w:rsid w:val="005277E5"/>
    <w:rsid w:val="00534675"/>
    <w:rsid w:val="005378A0"/>
    <w:rsid w:val="005471A8"/>
    <w:rsid w:val="005672AD"/>
    <w:rsid w:val="00570D56"/>
    <w:rsid w:val="00571833"/>
    <w:rsid w:val="00581192"/>
    <w:rsid w:val="00583530"/>
    <w:rsid w:val="00584708"/>
    <w:rsid w:val="005913B1"/>
    <w:rsid w:val="005B1A28"/>
    <w:rsid w:val="005B1BFE"/>
    <w:rsid w:val="005B60ED"/>
    <w:rsid w:val="005B646B"/>
    <w:rsid w:val="005C555B"/>
    <w:rsid w:val="005E7FD6"/>
    <w:rsid w:val="00603FF8"/>
    <w:rsid w:val="00615DE3"/>
    <w:rsid w:val="006212D8"/>
    <w:rsid w:val="006341AB"/>
    <w:rsid w:val="0063462E"/>
    <w:rsid w:val="00635068"/>
    <w:rsid w:val="0064364A"/>
    <w:rsid w:val="00664C9C"/>
    <w:rsid w:val="00672B25"/>
    <w:rsid w:val="0069789D"/>
    <w:rsid w:val="006A5738"/>
    <w:rsid w:val="006B07FD"/>
    <w:rsid w:val="006E64D9"/>
    <w:rsid w:val="006F42AD"/>
    <w:rsid w:val="006F6343"/>
    <w:rsid w:val="00700017"/>
    <w:rsid w:val="00724F73"/>
    <w:rsid w:val="007337A8"/>
    <w:rsid w:val="007410A4"/>
    <w:rsid w:val="00753989"/>
    <w:rsid w:val="007547A7"/>
    <w:rsid w:val="007623C3"/>
    <w:rsid w:val="00765B62"/>
    <w:rsid w:val="00775759"/>
    <w:rsid w:val="00781E18"/>
    <w:rsid w:val="0079365B"/>
    <w:rsid w:val="00793BD6"/>
    <w:rsid w:val="007B4888"/>
    <w:rsid w:val="007C595B"/>
    <w:rsid w:val="007C63DC"/>
    <w:rsid w:val="007F1B18"/>
    <w:rsid w:val="007F4BCA"/>
    <w:rsid w:val="00842FAA"/>
    <w:rsid w:val="0086757C"/>
    <w:rsid w:val="008716F2"/>
    <w:rsid w:val="00890D63"/>
    <w:rsid w:val="00896D44"/>
    <w:rsid w:val="008B1262"/>
    <w:rsid w:val="008B59B2"/>
    <w:rsid w:val="008F6DF6"/>
    <w:rsid w:val="008F75FF"/>
    <w:rsid w:val="00901059"/>
    <w:rsid w:val="00912A91"/>
    <w:rsid w:val="00936206"/>
    <w:rsid w:val="0095093F"/>
    <w:rsid w:val="00977B01"/>
    <w:rsid w:val="009C15A5"/>
    <w:rsid w:val="009D549E"/>
    <w:rsid w:val="009F5DAA"/>
    <w:rsid w:val="00A055C1"/>
    <w:rsid w:val="00A10FDB"/>
    <w:rsid w:val="00A154A3"/>
    <w:rsid w:val="00A222F0"/>
    <w:rsid w:val="00A23BC8"/>
    <w:rsid w:val="00A30B15"/>
    <w:rsid w:val="00A32D57"/>
    <w:rsid w:val="00A550BE"/>
    <w:rsid w:val="00A86EB3"/>
    <w:rsid w:val="00A92F25"/>
    <w:rsid w:val="00A94924"/>
    <w:rsid w:val="00A9544B"/>
    <w:rsid w:val="00AB0FDA"/>
    <w:rsid w:val="00AD2F68"/>
    <w:rsid w:val="00AE67DF"/>
    <w:rsid w:val="00AE7476"/>
    <w:rsid w:val="00B16051"/>
    <w:rsid w:val="00B43349"/>
    <w:rsid w:val="00B51662"/>
    <w:rsid w:val="00B52AE7"/>
    <w:rsid w:val="00B56DD2"/>
    <w:rsid w:val="00B57A8D"/>
    <w:rsid w:val="00B6194C"/>
    <w:rsid w:val="00B61F7D"/>
    <w:rsid w:val="00B75C48"/>
    <w:rsid w:val="00BB1063"/>
    <w:rsid w:val="00BC17E1"/>
    <w:rsid w:val="00BE03AF"/>
    <w:rsid w:val="00BF526F"/>
    <w:rsid w:val="00C05449"/>
    <w:rsid w:val="00C319F5"/>
    <w:rsid w:val="00C65583"/>
    <w:rsid w:val="00C67575"/>
    <w:rsid w:val="00C71C99"/>
    <w:rsid w:val="00C74E2A"/>
    <w:rsid w:val="00C76B01"/>
    <w:rsid w:val="00C81E4E"/>
    <w:rsid w:val="00C91145"/>
    <w:rsid w:val="00CA4496"/>
    <w:rsid w:val="00CC6F8F"/>
    <w:rsid w:val="00CE44D5"/>
    <w:rsid w:val="00D0740A"/>
    <w:rsid w:val="00D1604C"/>
    <w:rsid w:val="00D33C9A"/>
    <w:rsid w:val="00D77E87"/>
    <w:rsid w:val="00D811B5"/>
    <w:rsid w:val="00DB2118"/>
    <w:rsid w:val="00DD63B9"/>
    <w:rsid w:val="00DD694B"/>
    <w:rsid w:val="00E1246B"/>
    <w:rsid w:val="00E17048"/>
    <w:rsid w:val="00E20308"/>
    <w:rsid w:val="00E279CB"/>
    <w:rsid w:val="00E511E9"/>
    <w:rsid w:val="00E95006"/>
    <w:rsid w:val="00EA3B94"/>
    <w:rsid w:val="00EA70D9"/>
    <w:rsid w:val="00EA75E4"/>
    <w:rsid w:val="00ED4F32"/>
    <w:rsid w:val="00ED7C53"/>
    <w:rsid w:val="00EE5D4A"/>
    <w:rsid w:val="00EF5CEB"/>
    <w:rsid w:val="00EF6F65"/>
    <w:rsid w:val="00F03607"/>
    <w:rsid w:val="00F17A1B"/>
    <w:rsid w:val="00F21D84"/>
    <w:rsid w:val="00F31E69"/>
    <w:rsid w:val="00F36770"/>
    <w:rsid w:val="00F46802"/>
    <w:rsid w:val="00F500FA"/>
    <w:rsid w:val="00FA24DE"/>
    <w:rsid w:val="00FC0539"/>
    <w:rsid w:val="00FE657B"/>
    <w:rsid w:val="00F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57C5"/>
  <w15:chartTrackingRefBased/>
  <w15:docId w15:val="{453A7E99-B269-4E8E-9EA9-62BC1745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0017"/>
    <w:pPr>
      <w:spacing w:after="0" w:line="276" w:lineRule="auto"/>
    </w:pPr>
    <w:rPr>
      <w:rFonts w:ascii="Arial" w:eastAsia="Arial" w:hAnsi="Arial" w:cs="Arial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A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A75"/>
    <w:rPr>
      <w:rFonts w:ascii="Segoe UI" w:eastAsia="Arial" w:hAnsi="Segoe UI" w:cs="Segoe UI"/>
      <w:sz w:val="18"/>
      <w:szCs w:val="18"/>
      <w:lang w:val="uk" w:eastAsia="ru-RU"/>
    </w:rPr>
  </w:style>
  <w:style w:type="paragraph" w:customStyle="1" w:styleId="a6">
    <w:name w:val="Нормальний текст"/>
    <w:basedOn w:val="a"/>
    <w:rsid w:val="007F4BCA"/>
    <w:pPr>
      <w:spacing w:before="12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8E307-3B7B-4033-8EA5-F56DA3B5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14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Боженко Катерина Володимирівна</dc:creator>
  <cp:keywords/>
  <dc:description/>
  <cp:lastModifiedBy>Волкова Юлія Володимирівна</cp:lastModifiedBy>
  <cp:revision>186</cp:revision>
  <cp:lastPrinted>2025-04-28T11:36:00Z</cp:lastPrinted>
  <dcterms:created xsi:type="dcterms:W3CDTF">2023-07-11T11:06:00Z</dcterms:created>
  <dcterms:modified xsi:type="dcterms:W3CDTF">2025-05-21T10:27:00Z</dcterms:modified>
</cp:coreProperties>
</file>