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4D6C41" w:rsidRPr="00D138FF" w:rsidTr="004D6C41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4D6C41" w:rsidRDefault="004D6C41" w:rsidP="00CB6C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Додаток 2</w:t>
            </w:r>
          </w:p>
          <w:p w:rsidR="004D6C41" w:rsidRDefault="004D6C41" w:rsidP="00D138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до </w:t>
            </w:r>
            <w:r w:rsidR="00563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рішення </w:t>
            </w:r>
            <w:r w:rsidR="00D138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Сумської міської ради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734E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«</w:t>
            </w:r>
            <w:r w:rsidR="00563E5D" w:rsidRPr="0056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заключний звіт </w:t>
            </w:r>
            <w:r w:rsidR="00D13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виконання рішення Сумської міської ради від 26 січня 2022 року № 2716-МР «Про програму  розвитку та вдосконалення пасажирського транспорту та мобільності на території Сумської міської територіальної громади на 2022-2024 роки» (зі змінами), за підсумками 2022-2024 років, у т.ч. за 2024 р.</w:t>
            </w:r>
          </w:p>
          <w:p w:rsidR="00D138FF" w:rsidRDefault="00D138FF" w:rsidP="00D13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__________20___ року  № __ -МР</w:t>
            </w:r>
          </w:p>
        </w:tc>
      </w:tr>
    </w:tbl>
    <w:p w:rsidR="004D6C41" w:rsidRDefault="004D6C41" w:rsidP="004D6C4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6D0A" w:rsidRDefault="00486D0A" w:rsidP="00486D0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про виконання результативних показників/індикаторів </w:t>
      </w:r>
    </w:p>
    <w:p w:rsidR="00486D0A" w:rsidRDefault="00486D0A" w:rsidP="00486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Програми розвитку та вдосконалення пасажирського транспорту і мобільності на території</w:t>
      </w:r>
    </w:p>
    <w:p w:rsidR="00486D0A" w:rsidRDefault="00486D0A" w:rsidP="00486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Сумської міської територіальної громади</w:t>
      </w:r>
      <w:r w:rsidR="007B0F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на 2022-2024 роки</w:t>
      </w:r>
    </w:p>
    <w:p w:rsidR="00486D0A" w:rsidRDefault="00486D0A" w:rsidP="00486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 2024 рік</w:t>
      </w:r>
    </w:p>
    <w:p w:rsidR="007B0FBB" w:rsidRDefault="007B0FBB" w:rsidP="00486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Pr="007B0FBB">
        <w:rPr>
          <w:rFonts w:ascii="Times New Roman" w:eastAsia="Times New Roman" w:hAnsi="Times New Roman" w:cs="Times New Roman"/>
          <w:b/>
          <w:lang w:val="uk-UA"/>
        </w:rPr>
        <w:t>звітний період)</w:t>
      </w:r>
    </w:p>
    <w:tbl>
      <w:tblPr>
        <w:tblW w:w="13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2"/>
        <w:gridCol w:w="1407"/>
        <w:gridCol w:w="3138"/>
        <w:gridCol w:w="1320"/>
        <w:gridCol w:w="1065"/>
        <w:gridCol w:w="1125"/>
        <w:gridCol w:w="1245"/>
        <w:gridCol w:w="1763"/>
      </w:tblGrid>
      <w:tr w:rsidR="00486D0A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Назва індикатору/завдання/заходу,</w:t>
            </w:r>
          </w:p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Група результативних показників</w:t>
            </w:r>
          </w:p>
        </w:tc>
        <w:tc>
          <w:tcPr>
            <w:tcW w:w="3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Значення показника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Відсоток виконання кол. 6/кол.5</w:t>
            </w:r>
          </w:p>
        </w:tc>
        <w:tc>
          <w:tcPr>
            <w:tcW w:w="1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Причини невиконання</w:t>
            </w: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jc w:val="center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5753" w:rsidRDefault="006D5753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D5753" w:rsidRDefault="006D5753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Default="00E1771D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перевезень комунальним транспортом/рік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5753" w:rsidRDefault="006D5753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D5753" w:rsidRDefault="006D5753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D5753" w:rsidRDefault="006D5753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5753" w:rsidRDefault="006D5753" w:rsidP="00D3005C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D5753" w:rsidRDefault="006D5753" w:rsidP="00D3005C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Default="00486D0A" w:rsidP="00D3005C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перевезень за рік (платних і пільгових пасажирів)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чол.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D138FF" w:rsidP="00D138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3738,2</w:t>
            </w:r>
            <w:r w:rsidR="00486D0A"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/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8880,5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D138FF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4085,6</w:t>
            </w:r>
            <w:r w:rsidR="00486D0A"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</w:p>
          <w:p w:rsidR="00486D0A" w:rsidRPr="00EA715B" w:rsidRDefault="00D138FF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7905,2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D138FF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109,3</w:t>
            </w:r>
            <w:r w:rsidR="00486D0A"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</w:p>
          <w:p w:rsidR="00486D0A" w:rsidRPr="00EA715B" w:rsidRDefault="00D138FF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89,02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в обмеженому режимі з причини відключення електроенергії</w:t>
            </w:r>
          </w:p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пере6везень пасажирів порівняно з попереднім роком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320362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036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80,8/</w:t>
            </w:r>
          </w:p>
          <w:p w:rsidR="00486D0A" w:rsidRPr="00320362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036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81,1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320362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036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94,6/</w:t>
            </w:r>
          </w:p>
          <w:p w:rsidR="00486D0A" w:rsidRPr="00320362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036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94,1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320362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</w:t>
            </w:r>
            <w:r w:rsidRPr="003203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</w:p>
          <w:p w:rsidR="00486D0A" w:rsidRPr="00320362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1528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1528" w:rsidRDefault="00661528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маршрутів руху, охоплених обстеженням пасажиропотоку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661528" w:rsidP="00D3005C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маршрутів охоплених обстеженням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5600A2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661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 виконано через загрозливу безпекову ситуацію</w:t>
            </w:r>
          </w:p>
        </w:tc>
      </w:tr>
      <w:tr w:rsidR="00661528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528" w:rsidRDefault="00661528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661528" w:rsidP="00D3005C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маршрутів руху, охоплених обстеженням пасажиропотоку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66152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1528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1528" w:rsidRDefault="00661528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забезпечення осіб, о мать право на пільговий проїзд у міському пасажирському транспорті послугою з безкоштовного надання карток для безоплатного проїзду пільгових категорій пасажирів у міському пасажирському транспорті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661528" w:rsidP="00D3005C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Орієнтовна кількість карток для безоплатного проїзду пільгових категорій пасажирів у міському пасажирському транспорті, о планується емітувати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56139,0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5600A2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впровадження АСДУ</w:t>
            </w:r>
          </w:p>
        </w:tc>
      </w:tr>
      <w:tr w:rsidR="00661528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528" w:rsidRDefault="00661528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5600A2" w:rsidP="00D3005C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осіб, о мають право на пільговий проїзд у міському пасажирському транспорті картками для безоплатного проїзду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66152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1528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1528" w:rsidRDefault="005600A2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міського пасажирського транспорту, підключенгоо до АСДУ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5600A2" w:rsidP="00D3005C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міського пасажирського транспорту, що планується підключити до АСДУ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5600A2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впровадження АСДУ</w:t>
            </w:r>
          </w:p>
        </w:tc>
      </w:tr>
      <w:tr w:rsidR="00661528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528" w:rsidRDefault="00661528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5600A2" w:rsidP="00D3005C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міського пасажирського транспорту, підключеного до АСДУ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Pr="00320362" w:rsidRDefault="005600A2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528" w:rsidRDefault="00661528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28" w:rsidRDefault="0066152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133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6D0A" w:rsidRPr="0064367E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6D0A" w:rsidRPr="00320362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43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Підпрограма 1</w:t>
            </w:r>
            <w:r w:rsidRPr="00643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 «Розвиток та вдосконалення електротранспорту»</w:t>
            </w: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E0D" w:rsidRDefault="00A65E0D" w:rsidP="00E1771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65E0D" w:rsidRDefault="00A65E0D" w:rsidP="00E1771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1771D" w:rsidRPr="00C16B9B" w:rsidRDefault="00E1771D" w:rsidP="00E1771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користувачів послугами електротранспорту</w:t>
            </w:r>
          </w:p>
          <w:p w:rsidR="00486D0A" w:rsidRDefault="00486D0A" w:rsidP="00D300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A37" w:rsidRDefault="00865A37" w:rsidP="00D300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65A37" w:rsidRDefault="00865A37" w:rsidP="00D300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Default="00486D0A" w:rsidP="00D300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A37" w:rsidRDefault="00865A37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65A37" w:rsidRDefault="00865A37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Default="009102B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ількість пасажирів, перевезених електротранспортом за рік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чол.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A37" w:rsidRDefault="00865A37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65A37" w:rsidRDefault="00865A37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5600A2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8880,5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A37" w:rsidRDefault="00865A37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65A37" w:rsidRDefault="00865A37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7905,2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A37" w:rsidRDefault="00865A37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5600A2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89,02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в обмеженому режимі з причини відключення електроенергії</w:t>
            </w:r>
          </w:p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бсяг перевезених пасажирів порівняно з попереднім роком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109,1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88,9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81,48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Завдання 1. Оновлення парку тролейбусів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1679,8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1533,5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електротранспорту, що  оновлена за рахунок залучених (кредитних) коштів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 ПДВ з розрахунку на 1 придбаний тролейбус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грн./об'єкт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88,41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оновлених тролейбусів до їх загальної кількості, 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24,4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1164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Захід 1.1. Реалізація підпроєкту "Оновлення рухомого  складу КП "Електроавтотранс" у м. Суми" (придбання тролейбусів). Сплата ПДВ.                                           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ума, необхідна для реалізації підпроєкту "Оновлення рухомого  складу КП "Електроавтотранс" у м.Суми" (придбання тролейбусів, сплата ПДВ)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30158" w:rsidRDefault="00930158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5600A2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1679,8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1533,5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5600A2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158" w:rsidRDefault="0093015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30158" w:rsidRDefault="0093015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Default="00B30BC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</w:t>
            </w:r>
            <w:r w:rsidR="005600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(економія коштів)</w:t>
            </w: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агальна (балансова) кількість комунального електротранспорту, що забезпечує потреби населення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95,1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електротранспорту, що  придбана за рахунок залучених (кредитних) коштів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 ПДВ з розрахунку на 1 придбаний тролейбус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грн./об'єкт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88,41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5600A2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придбаних тролейбусів до їх загальної кількості,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0A0CF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24,4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0A0C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0A0C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05,2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Завдання 2. Відновлення технічного  ресурсу існуючого парку рухомого складу міського електротранспорту                                          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2653,5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463,2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ількість відновленого технічного ресурсу  </w:t>
            </w:r>
            <w:r w:rsidR="00486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існуючого парку рухомого складу міського електротранспорту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</w:t>
            </w:r>
            <w:r w:rsidR="00486D0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ередні витрати на відновлення технічного ресурсу існуючого парку </w:t>
            </w:r>
            <w:r w:rsidR="00486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рухомого складу міського електротранспорту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530,7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231,6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</w:t>
            </w:r>
            <w:r w:rsidR="00486D0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ідсоток відновлення </w:t>
            </w:r>
            <w:r w:rsidR="00486D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технічного  ресурсу існуючого парку рухомого складу міського електротранспорту                                           </w:t>
            </w:r>
            <w:r w:rsidR="00486D0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  загальної кількості,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Захід 2.1. Проведення середніх ремонтів тролейбусів                                                        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2653,5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463,2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2046C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Частково виконано з причин відсутності обігових коштів</w:t>
            </w: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проведених середніх ремонтів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02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ередні витрати на одну одиницю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530,7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231,6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Якості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виконання проекту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Завдання 4. Реконструкція електротранспортної інфраструктури                                                    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8069</w:t>
            </w:r>
            <w:r w:rsidR="003211D8"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одиниць реконструкції електротранспортної інфраструктури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ередні витрати на одну одиницю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виконання проекту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Захід 4.1.Заміна аварійних опор контактної мережі                                                                           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2046C" w:rsidRPr="00EA715B" w:rsidRDefault="0092046C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8069,0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158" w:rsidRDefault="00930158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Невиконано з причин відсутності обігових коштів</w:t>
            </w: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аварійних опор контактної мережі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ередні затрати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Завдання 5. Капітальний ремонт кабельних мереж                                                                      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8031,4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кабельних мереж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64367E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3250,0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ередні затрати капітального ремонту  1 м кабельної мережі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0A0CF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2471,2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0A0CF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Захід 5.1.Заміна кабельної лінії 6 кВ  (3250 м) від комірки 33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 xml:space="preserve">ПС "ТЕЦ" до ТП-1 (Пр-т Шевченка в районі скверу "Дружба")                                           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8031,4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</w:t>
            </w:r>
            <w:r w:rsidR="000A0C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 через відсутність фінансування</w:t>
            </w: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кабельної лінії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64367E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3250,0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ередні затрати на заміну 1 м  кабельної лінії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0A0CF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2471,2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0A0CF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EA715B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171"/>
          <w:jc w:val="center"/>
        </w:trPr>
        <w:tc>
          <w:tcPr>
            <w:tcW w:w="133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6436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43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Підпрограма 2.  "Розвиток пасажирського автотранспорту"</w:t>
            </w: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Індикатор/індикатори підпрограми</w:t>
            </w:r>
          </w:p>
          <w:p w:rsidR="0092046C" w:rsidRDefault="0092046C" w:rsidP="009204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486D0A" w:rsidRDefault="0092046C" w:rsidP="009204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486D0A" w:rsidRDefault="009102B8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92046C"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ількість пасажирів, перевезених автобусами за рік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Pr="00486D0A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чол.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486D0A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3738,2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486D0A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4085,6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486D0A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109,3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A0373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486D0A" w:rsidRDefault="0092046C" w:rsidP="009204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Pr="00486D0A" w:rsidRDefault="009102B8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бсяг перевезених пасажирів порівняно з попереднім роком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Pr="00486D0A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486D0A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486D0A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107,2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486D0A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133,7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Pr="00A0373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Відновлення технічного  ресурсу існуючого парку комунального автотранспорту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2029,0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405,7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бсяг відновлених технічного ресурсу існуючого парку комунального автотранспорту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од.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ередні витрати  на одиницю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507,3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405,7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.1.Проведення середніх ремонтів автобусів                                                              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2029,0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405,7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Частково виконано з причин відсутності обігових коштів</w:t>
            </w: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проведених середніх ремонтів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ередні витрати  на одиницю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507,3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405,7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046C" w:rsidRPr="000A3CED" w:rsidTr="00501BB8">
        <w:trPr>
          <w:trHeight w:val="440"/>
          <w:jc w:val="center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46C" w:rsidRDefault="0092046C" w:rsidP="009204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9204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102B8" w:rsidP="0092046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920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46C" w:rsidRDefault="0092046C" w:rsidP="0092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46C" w:rsidRDefault="0092046C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46C" w:rsidRDefault="0092046C" w:rsidP="009204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4367E" w:rsidRDefault="0064367E" w:rsidP="00486D0A">
      <w:pPr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4367E" w:rsidRDefault="0064367E" w:rsidP="00486D0A">
      <w:pPr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4367E" w:rsidRDefault="0064367E" w:rsidP="00486D0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486D0A" w:rsidRPr="0064367E" w:rsidRDefault="00486D0A" w:rsidP="00486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67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Підпрограма 3. «Забезпечення сталого функціонування підприємств транспортної галузі»</w:t>
      </w:r>
    </w:p>
    <w:tbl>
      <w:tblPr>
        <w:tblW w:w="148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6"/>
        <w:gridCol w:w="1391"/>
        <w:gridCol w:w="26"/>
        <w:gridCol w:w="3112"/>
        <w:gridCol w:w="7"/>
        <w:gridCol w:w="1276"/>
        <w:gridCol w:w="37"/>
        <w:gridCol w:w="1238"/>
        <w:gridCol w:w="952"/>
        <w:gridCol w:w="41"/>
        <w:gridCol w:w="1204"/>
        <w:gridCol w:w="71"/>
        <w:gridCol w:w="1843"/>
      </w:tblGrid>
      <w:tr w:rsidR="00B54591" w:rsidRPr="000A3CED" w:rsidTr="000A0CFA">
        <w:trPr>
          <w:trHeight w:val="440"/>
          <w:jc w:val="center"/>
        </w:trPr>
        <w:tc>
          <w:tcPr>
            <w:tcW w:w="3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Default="00B54591" w:rsidP="00D300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Індикатор/індикатори підпрограми</w:t>
            </w:r>
          </w:p>
          <w:p w:rsidR="00B54591" w:rsidRDefault="00B54591" w:rsidP="00D300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Default="00B54591" w:rsidP="00D300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Default="009102B8" w:rsidP="00D30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B545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 підприємств, що  отримують відшкодування різниці в тарифах та фінансову підтримку з бюджету СМТГ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Default="00B54591" w:rsidP="00D300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EA715B" w:rsidRDefault="00B54591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EA715B" w:rsidRDefault="00B54591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EA715B" w:rsidRDefault="00B54591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91" w:rsidRDefault="00B54591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54591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91" w:rsidRDefault="00B54591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Default="00B54591" w:rsidP="00D300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B545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емп зростання видатків бюджету на відшкодування різниці в тарифах та фінансову підтримку порівняно з попереднім роком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54591" w:rsidRDefault="00B54591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591" w:rsidRPr="00EA715B" w:rsidRDefault="00B54591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121,4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91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1597,4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91" w:rsidRDefault="00B54591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Завдання 1. Відшкодування різниці між встановленими граничними та споживчими тарифами на послуги міського електричного транспорту та послуги з перевезення                         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>
              <w:rPr>
                <w:rFonts w:ascii="Times New Roman" w:hAnsi="Times New Roman" w:cs="Times New Roman"/>
                <w:sz w:val="20"/>
                <w:szCs w:val="20"/>
              </w:rPr>
              <w:t>бсяг видатків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0A0C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  <w:r w:rsidR="000A0CFA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160301,4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62760,0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39,15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486D0A">
              <w:rPr>
                <w:rFonts w:ascii="Times New Roman" w:hAnsi="Times New Roman" w:cs="Times New Roman"/>
                <w:sz w:val="20"/>
                <w:szCs w:val="20"/>
              </w:rPr>
              <w:t>ількість комунальних підприємств, яким планується відшкодовувати різницю в тарифах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486D0A">
              <w:rPr>
                <w:rFonts w:ascii="Times New Roman" w:hAnsi="Times New Roman" w:cs="Times New Roman"/>
                <w:sz w:val="20"/>
                <w:szCs w:val="20"/>
              </w:rPr>
              <w:t xml:space="preserve">ередньомісячний розмір відшкодування 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EA71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13358450,00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0,0392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486D0A">
              <w:rPr>
                <w:rFonts w:ascii="Times New Roman" w:hAnsi="Times New Roman" w:cs="Times New Roman"/>
                <w:sz w:val="20"/>
                <w:szCs w:val="20"/>
              </w:rPr>
              <w:t>емп зростання видатків на відшкодування різниці в тарифах порівняно з попереднім роком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140,8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1852,63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1434"/>
          <w:jc w:val="center"/>
        </w:trPr>
        <w:tc>
          <w:tcPr>
            <w:tcW w:w="3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 1.1.Відшкодування різниці між  встановленим  граничним та споживчим тарифами на послуги міського електричного транспорту  КП СМР «Електроавтотранс»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>
              <w:rPr>
                <w:rFonts w:ascii="Times New Roman" w:hAnsi="Times New Roman" w:cs="Times New Roman"/>
                <w:sz w:val="20"/>
                <w:szCs w:val="20"/>
              </w:rPr>
              <w:t xml:space="preserve">рієнтовний обсяг видатків на відшкодування різниці  між встановленими граничними та споживчими тарифами на послуги міського електричного транспорту </w:t>
            </w:r>
          </w:p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тис. грн.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121287,7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62760,0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51,75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486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комунальних підприємств, яким планується відшкодувати різницю в тарифах на послуги міського транспорту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486D0A">
              <w:rPr>
                <w:rFonts w:ascii="Times New Roman" w:hAnsi="Times New Roman" w:cs="Times New Roman"/>
                <w:sz w:val="20"/>
                <w:szCs w:val="20"/>
              </w:rPr>
              <w:t>ередньомісячний розмір відшкодування різниці між встановленим граничним та споживчим тарифами на послуги міського електричного транспорту КП СМР "Електроавтотранс"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0A0C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10107308,33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0,0518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486D0A">
              <w:rPr>
                <w:rFonts w:ascii="Times New Roman" w:hAnsi="Times New Roman" w:cs="Times New Roman"/>
                <w:sz w:val="20"/>
                <w:szCs w:val="20"/>
              </w:rPr>
              <w:t>емп зростання видатків на відшкодування різниці в тарифах на послуги міського електричного транспорту КП СМР "Електроватотранс" порівняно з попереднім роком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140,8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1828,57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Захід 1.2. Відшкодування різниці між  встановленим  граничним та споживчим тарифами на послуги з перевезення пасажирів на автобусних марщрутах щагального користування КП СМР «Електроавтотранс»                  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рієнтовний обсяг видатків на відшкодування різниці  між встановленими граничними та споживчими тарифами  на послуги з перевезення пасажирів на автобусних маршрутах загального користування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39013,7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27876,8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71,45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ількість комунальних підприємств, яким планується відшкодовувати різницю в тарифах на послуги з перевезення </w:t>
            </w:r>
            <w:r w:rsid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пасажирів на автобусних маршрутах загального користування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ередньомісячний розмір відшкодування різниці між встановленим граничним та споживчим тарифами на послуги з перевезення пасажирів на автобусних маршрутах загального користування КП СМР "Електроавтотранс"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3251141,67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2323,1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0A3CED" w:rsidTr="000A0CFA">
        <w:trPr>
          <w:trHeight w:val="440"/>
          <w:jc w:val="center"/>
        </w:trPr>
        <w:tc>
          <w:tcPr>
            <w:tcW w:w="3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Default="00486D0A" w:rsidP="00D3005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486D0A" w:rsidP="00D300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Default="009102B8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емп зростання видатків на відшкодування різниці в тарифах на послуги з перевезення пасажирів на автобусних маршрутах загального користування КП СМР "Електроавтотранс"  порівняно з попереднім роком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Default="00486D0A" w:rsidP="00D30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486D0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A71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178,8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A715B" w:rsidRPr="00EA715B" w:rsidRDefault="00EA715B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EA715B" w:rsidRDefault="000A0CFA" w:rsidP="00EA7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2518,30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Default="00486D0A" w:rsidP="00D30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F2184" w:rsidRPr="00813540" w:rsidTr="00DF2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  <w:jc w:val="center"/>
        </w:trPr>
        <w:tc>
          <w:tcPr>
            <w:tcW w:w="14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64367E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64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4. «Органзація перевезення пасажирів на маршрутах пасажирського транспорту, що не входять за межі Сумської міської територіальної громади»</w:t>
            </w: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15"/>
          <w:jc w:val="center"/>
        </w:trPr>
        <w:tc>
          <w:tcPr>
            <w:tcW w:w="3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2739B6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739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Кількість маршрутів пасажирського транспорту Сумської міської територіальної громади, включених до обстеження пасажиропотоку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 кількість маршрутів пасажирського транспорту Сумської міської територіальної громади, включених до обстеження пасажиропотоку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6E793E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E7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B54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0"/>
          <w:jc w:val="center"/>
        </w:trPr>
        <w:tc>
          <w:tcPr>
            <w:tcW w:w="3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 маршрутів пасажирського транспорту Сумської міської територіальної громади, включених до обстеження пасажиропотоку</w:t>
            </w:r>
          </w:p>
          <w:p w:rsidR="00DF2184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F2184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6E793E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E7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B54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2739B6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2739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lastRenderedPageBreak/>
              <w:t>Завдання 1. Вивчення транспортного попиту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обсяг видатків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тис. грн.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6E793E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648A9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  <w:jc w:val="center"/>
        </w:trPr>
        <w:tc>
          <w:tcPr>
            <w:tcW w:w="3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648A9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 маршрутів пасажирського транспорту, на яких планується провести обстеження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4B5727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4B5727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середні затрати на виконання робіт (послуг) із обстеження пасажиропотоку на  1 маршруті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8 904,11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відсток маршрутів руху, охоплених обстеженням пасажиропотоку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3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 1.1.Проведення обстеження пасажиропотоку (з розробкою сценарію транспортної моделі) на  маршрутах пасажирського транспорту, що не виходять за межі  Сумської міської територіальної громади      КПКВК 0217450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орієнтовний обсяг видатків на проведення обстеження пасажироптоку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тис. грн.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650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DF2184" w:rsidRDefault="00DF2184" w:rsidP="009204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F21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="000A0C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DF21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виконано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через </w:t>
            </w:r>
            <w:r w:rsidRPr="00DF21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загрозливу безпекову ситуацію</w:t>
            </w: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DF2184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DF2184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DF2184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DF2184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DF2184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DF2184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84" w:rsidRPr="00DF2184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84" w:rsidRPr="00DF2184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DF2184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кількість  автобусних маршрутів пасажирського транспорту,  на яких буде проведено обстеження пасажиропотоку (з розробкою сценарію транспортної моделі) з урахуванням приміських маршрутів, що не виходять за межі Сумської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6E793E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кількість тролейбусних маршрутів,  на яких буде проведено обстеження пасажиропотоку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                        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(з розробкою сценарію транспортної моделі) з урахуванням приміських маршрутів, що не виходять за межі Сумської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6E793E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середні затрати на виконання робіт (послуг) із обстеження пасажиропотоку на  1 маршруті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8904,11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7E" w:rsidRDefault="0064367E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F2184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відсток маршрутів руху, охоплених обстеженням пасажиропотоку</w:t>
            </w:r>
          </w:p>
          <w:p w:rsidR="0064367E" w:rsidRDefault="0064367E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4367E" w:rsidRDefault="0064367E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4367E" w:rsidRDefault="0064367E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4367E" w:rsidRDefault="0064367E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4367E" w:rsidRDefault="0064367E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4367E" w:rsidRPr="00813540" w:rsidRDefault="0064367E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DF2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14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Підпрограма 5 "Впровадження єдиної інтегрованої інтелектуальної транспортної системи у складі автоматизованої системи обліку оплати проїзду</w:t>
            </w:r>
          </w:p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та автоматизованої системи диспетчерського управління в міському пасажирському транспорті</w:t>
            </w:r>
          </w:p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на території Сумської міської територіальної громади"</w:t>
            </w: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3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Кількість міського пасажирського транспорту, що буде підключена до  єдиної інтегрованої інтелектуальної транспортної системи (АСООП та АСДУ)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 кількість міського пасажирського транспорту, підключена до системи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 міського пасажирського транспорту, підключеного до системи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Завдання 1. Впровадження автоматизованої системи обліку оплати проїзду в міському пасажирському транспорті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обсяг видатків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тис. грн.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4548,96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5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 кількість карток для безоплатного проїзду пільгових категорій  пасажирів у міському пасажирському транспорті, що планується емітувати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56139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середні витрати на виготовлення  картки для безоплатного проїзду з розрахунку на 1 особу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81,03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відсоток забезпечення осіб, що мають право на пільговий проїзд у міському пасажирському транспорті послугою з бешкотовного надання  карток для безоплатного проїзду пільгових категорій пасажирів у міському пасажирському транспорті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3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Захід 1.1.Виготовлення пільгових електронних квитків КПКВК 0217450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 кількість осіб, що мають право на пільговий проїзд у міському пасажирському транспорті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чол.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56 139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B54591" w:rsidRDefault="00B54591" w:rsidP="00B545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Невиконано через відсутність фінансування</w:t>
            </w: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B54591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 кількість карток для безоплатного проїзду пільгових категорій  пасажирів у міському пасажирському транспорті, що планується емітувати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56139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84" w:rsidRPr="008C3992" w:rsidRDefault="00DF2184" w:rsidP="002D7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C3992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середня вартість емісії 1 безконтактної персоніфікованої картки для безоплатного проїзду пільгових категорій пасажирів у міському пасажирському транспорті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81,03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відсоток забезпечення осіб, що мають право на пільговий проїзд у міському пасажирському транспорті послугою з бешкотовного надання  карток для безоплатного проїзду пільгових категорій пасажирів у міському пасажирському транспорті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B54591" w:rsidRDefault="00B54591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637D4D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3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Завдання 2. Впровадження автоматизованої системи диспетчерського управління в міському пасажирському транспорті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обсяг видатків (реалізація ІІ півріччя 2024 року)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тис. грн.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EA715B" w:rsidRDefault="00EA715B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C3992" w:rsidRDefault="00DF2184" w:rsidP="009204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 кількість міського пасажирського транспорту, що необхідно підключити до АСДУ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EA715B" w:rsidRDefault="00EA715B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середні вартість послуг АСДУ з розрахунку  на 1 транспортний засіб на місяць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181,36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EA715B" w:rsidRDefault="00EA715B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відсоток міського пасажирського транспорту, підключеного до АСДУ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100,0</w:t>
            </w:r>
          </w:p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EA715B" w:rsidRDefault="00EA715B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C3992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 2.1.Підтримка та супроводження АСДУ  КПКВК 0217450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 кількість міського пасажирського транспорту (тролейбуси, автобуси), що необхідно підключити до АСДУ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EA715B" w:rsidRDefault="00EA715B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C3992" w:rsidRDefault="00B54591" w:rsidP="00B545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Невиконано через відсутність впровадження АСДУ</w:t>
            </w: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  <w:jc w:val="center"/>
        </w:trPr>
        <w:tc>
          <w:tcPr>
            <w:tcW w:w="3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B54591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 міського пасажирського транспорту,що планується підключити до АСДУ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EA715B" w:rsidRDefault="00EA715B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3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середня вартість послуг з підтримки та супроводження АСДУ з розрахунку на 1 транспортний засіб на місяць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181,36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EA715B" w:rsidRDefault="00EA715B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3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відстоток міського пасажирського транспорту, підключеного до АСДУ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A34125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184" w:rsidRPr="00581696" w:rsidRDefault="00DF2184" w:rsidP="0058169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184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:rsidR="00581696" w:rsidRDefault="00581696" w:rsidP="00D3005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:rsidR="00581696" w:rsidRDefault="00581696" w:rsidP="00D3005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:rsidR="00581696" w:rsidRDefault="00581696" w:rsidP="00D3005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:rsidR="00581696" w:rsidRDefault="00581696" w:rsidP="00D3005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:rsidR="00581696" w:rsidRPr="00813540" w:rsidRDefault="00581696" w:rsidP="00D3005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DF2184" w:rsidRPr="00813540" w:rsidTr="000A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184" w:rsidRPr="00813540" w:rsidRDefault="00581696" w:rsidP="005816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  <w:r w:rsidR="00DF2184" w:rsidRPr="00813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Департаменту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84" w:rsidRPr="00813540" w:rsidRDefault="00DF2184" w:rsidP="00D30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84" w:rsidRPr="00813540" w:rsidRDefault="00DF2184" w:rsidP="00D30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Євген БРОВЕНКО</w:t>
            </w:r>
          </w:p>
        </w:tc>
      </w:tr>
    </w:tbl>
    <w:p w:rsidR="00DF2184" w:rsidRPr="00813540" w:rsidRDefault="00DF2184" w:rsidP="00DF2184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F2184" w:rsidRPr="00813540" w:rsidRDefault="00DF2184" w:rsidP="00DF218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DF2184" w:rsidRPr="00813540" w:rsidRDefault="00DF2184" w:rsidP="00DF218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2184" w:rsidRPr="00813540" w:rsidRDefault="00DF2184" w:rsidP="00DF2184">
      <w:pPr>
        <w:pStyle w:val="1"/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813540">
        <w:rPr>
          <w:rFonts w:ascii="Times New Roman" w:hAnsi="Times New Roman" w:cs="Times New Roman"/>
          <w:sz w:val="28"/>
          <w:szCs w:val="28"/>
          <w:lang w:val="uk-UA"/>
        </w:rPr>
        <w:t>Секретар Сумської міської ради</w:t>
      </w:r>
      <w:r w:rsidRPr="008135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35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35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35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35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35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35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35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Артем КОБЗАР</w:t>
      </w:r>
    </w:p>
    <w:p w:rsidR="00DF2184" w:rsidRPr="00813540" w:rsidRDefault="00DF2184" w:rsidP="00DF2184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2184" w:rsidRPr="00813540" w:rsidRDefault="00DF2184" w:rsidP="00DF2184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813540">
        <w:rPr>
          <w:rFonts w:ascii="Times New Roman" w:hAnsi="Times New Roman" w:cs="Times New Roman"/>
          <w:sz w:val="28"/>
          <w:szCs w:val="28"/>
          <w:lang w:val="uk-UA"/>
        </w:rPr>
        <w:t>Виконавець: Євген БРОВЕНКО</w:t>
      </w:r>
    </w:p>
    <w:p w:rsidR="004D6C41" w:rsidRDefault="004D6C41" w:rsidP="004D6C4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6C41" w:rsidRDefault="004D6C41" w:rsidP="004D6C4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005C" w:rsidRDefault="00D3005C"/>
    <w:sectPr w:rsidR="00D3005C" w:rsidSect="00501BB8">
      <w:pgSz w:w="15840" w:h="12240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3C" w:rsidRDefault="004B2F3C" w:rsidP="006D5753">
      <w:pPr>
        <w:spacing w:line="240" w:lineRule="auto"/>
      </w:pPr>
      <w:r>
        <w:separator/>
      </w:r>
    </w:p>
  </w:endnote>
  <w:endnote w:type="continuationSeparator" w:id="0">
    <w:p w:rsidR="004B2F3C" w:rsidRDefault="004B2F3C" w:rsidP="006D5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3C" w:rsidRDefault="004B2F3C" w:rsidP="006D5753">
      <w:pPr>
        <w:spacing w:line="240" w:lineRule="auto"/>
      </w:pPr>
      <w:r>
        <w:separator/>
      </w:r>
    </w:p>
  </w:footnote>
  <w:footnote w:type="continuationSeparator" w:id="0">
    <w:p w:rsidR="004B2F3C" w:rsidRDefault="004B2F3C" w:rsidP="006D57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8"/>
    <w:rsid w:val="00031267"/>
    <w:rsid w:val="000723A2"/>
    <w:rsid w:val="000A0CFA"/>
    <w:rsid w:val="00133CCA"/>
    <w:rsid w:val="00137E29"/>
    <w:rsid w:val="001755CD"/>
    <w:rsid w:val="002739B6"/>
    <w:rsid w:val="002D75D8"/>
    <w:rsid w:val="002F76D5"/>
    <w:rsid w:val="003211D8"/>
    <w:rsid w:val="00397EBD"/>
    <w:rsid w:val="00435493"/>
    <w:rsid w:val="00486D0A"/>
    <w:rsid w:val="004B2F3C"/>
    <w:rsid w:val="004D6C41"/>
    <w:rsid w:val="00501BB8"/>
    <w:rsid w:val="00542314"/>
    <w:rsid w:val="005600A2"/>
    <w:rsid w:val="00563E5D"/>
    <w:rsid w:val="00581696"/>
    <w:rsid w:val="006421BF"/>
    <w:rsid w:val="0064367E"/>
    <w:rsid w:val="00661528"/>
    <w:rsid w:val="006850E9"/>
    <w:rsid w:val="006B3668"/>
    <w:rsid w:val="006D5753"/>
    <w:rsid w:val="007054CD"/>
    <w:rsid w:val="00734E50"/>
    <w:rsid w:val="007B0FBB"/>
    <w:rsid w:val="00820E8E"/>
    <w:rsid w:val="00865A37"/>
    <w:rsid w:val="008F4DD6"/>
    <w:rsid w:val="009102B8"/>
    <w:rsid w:val="0092046C"/>
    <w:rsid w:val="00930158"/>
    <w:rsid w:val="009E0245"/>
    <w:rsid w:val="00A3794E"/>
    <w:rsid w:val="00A65E0D"/>
    <w:rsid w:val="00A74288"/>
    <w:rsid w:val="00B30BCA"/>
    <w:rsid w:val="00B54591"/>
    <w:rsid w:val="00CB6CC9"/>
    <w:rsid w:val="00D138FF"/>
    <w:rsid w:val="00D234FC"/>
    <w:rsid w:val="00D3005C"/>
    <w:rsid w:val="00D65AC0"/>
    <w:rsid w:val="00DF2184"/>
    <w:rsid w:val="00E1771D"/>
    <w:rsid w:val="00EA20A9"/>
    <w:rsid w:val="00EA715B"/>
    <w:rsid w:val="00F11ED5"/>
    <w:rsid w:val="00FE4AB4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E61FB-1678-40BE-A01F-E3A0FF99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41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D6C41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6D5753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753"/>
    <w:rPr>
      <w:rFonts w:ascii="Arial" w:eastAsia="Arial" w:hAnsi="Arial" w:cs="Arial"/>
      <w:color w:val="00000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D5753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753"/>
    <w:rPr>
      <w:rFonts w:ascii="Arial" w:eastAsia="Arial" w:hAnsi="Arial" w:cs="Arial"/>
      <w:color w:val="00000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739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9B6"/>
    <w:rPr>
      <w:rFonts w:ascii="Segoe UI" w:eastAsia="Arial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CBBD-F66D-4759-BEE1-92181AEA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 Анна Валентинівна</dc:creator>
  <cp:keywords/>
  <dc:description/>
  <cp:lastModifiedBy>Админ</cp:lastModifiedBy>
  <cp:revision>51</cp:revision>
  <cp:lastPrinted>2025-04-25T07:43:00Z</cp:lastPrinted>
  <dcterms:created xsi:type="dcterms:W3CDTF">2025-04-03T12:35:00Z</dcterms:created>
  <dcterms:modified xsi:type="dcterms:W3CDTF">2025-06-17T08:08:00Z</dcterms:modified>
</cp:coreProperties>
</file>