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8" w:rsidRDefault="00F62E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5"/>
        <w:tblW w:w="963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52"/>
        <w:gridCol w:w="1134"/>
        <w:gridCol w:w="4253"/>
      </w:tblGrid>
      <w:tr w:rsidR="00F62E58">
        <w:trPr>
          <w:jc w:val="center"/>
        </w:trPr>
        <w:tc>
          <w:tcPr>
            <w:tcW w:w="4252" w:type="dxa"/>
          </w:tcPr>
          <w:p w:rsidR="00F62E58" w:rsidRDefault="00F62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7"/>
              </w:tabs>
              <w:spacing w:before="56"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2E58" w:rsidRDefault="006C4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val="ru-RU"/>
              </w:rPr>
              <w:drawing>
                <wp:inline distT="0" distB="0" distL="114300" distR="114300">
                  <wp:extent cx="427990" cy="608965"/>
                  <wp:effectExtent l="0" t="0" r="0" b="0"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608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F62E58" w:rsidRDefault="006C4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7"/>
              </w:tabs>
              <w:spacing w:before="56"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 xml:space="preserve">        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</w:t>
            </w:r>
            <w:proofErr w:type="spellEnd"/>
          </w:p>
          <w:p w:rsidR="00F62E58" w:rsidRDefault="006C4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7"/>
              </w:tabs>
              <w:spacing w:before="56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о</w:t>
            </w:r>
            <w:r>
              <w:rPr>
                <w:color w:val="000000"/>
                <w:sz w:val="28"/>
                <w:szCs w:val="28"/>
              </w:rPr>
              <w:t xml:space="preserve">прилюднено </w:t>
            </w:r>
          </w:p>
          <w:p w:rsidR="00F62E58" w:rsidRDefault="006C4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7"/>
              </w:tabs>
              <w:spacing w:before="56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color w:val="000000"/>
                <w:sz w:val="28"/>
                <w:szCs w:val="28"/>
              </w:rPr>
              <w:t>«___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</w:t>
            </w:r>
            <w:r>
              <w:rPr>
                <w:color w:val="000000"/>
                <w:sz w:val="28"/>
                <w:szCs w:val="28"/>
              </w:rPr>
              <w:t>20__р.</w:t>
            </w:r>
          </w:p>
        </w:tc>
      </w:tr>
    </w:tbl>
    <w:p w:rsidR="00F62E58" w:rsidRDefault="006C43D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СУМСЬКА МІСЬКА РАДА</w:t>
      </w:r>
    </w:p>
    <w:p w:rsidR="00F62E58" w:rsidRDefault="006C43D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VIII СКЛИКАННЯ ______ СЕСІЯ</w:t>
      </w:r>
    </w:p>
    <w:p w:rsidR="00F62E58" w:rsidRDefault="006C43D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РІШЕННЯ</w:t>
      </w:r>
    </w:p>
    <w:p w:rsidR="00F62E58" w:rsidRDefault="00F62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6"/>
        <w:tblW w:w="1003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34"/>
        <w:gridCol w:w="4701"/>
      </w:tblGrid>
      <w:tr w:rsidR="00F62E58">
        <w:tc>
          <w:tcPr>
            <w:tcW w:w="5334" w:type="dxa"/>
          </w:tcPr>
          <w:p w:rsidR="00F62E58" w:rsidRDefault="006C4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="0037708B">
              <w:rPr>
                <w:sz w:val="28"/>
                <w:szCs w:val="28"/>
              </w:rPr>
              <w:t xml:space="preserve">                               </w:t>
            </w:r>
            <w:r>
              <w:rPr>
                <w:color w:val="000000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86453D">
              <w:rPr>
                <w:color w:val="000000"/>
                <w:sz w:val="28"/>
                <w:szCs w:val="28"/>
              </w:rPr>
              <w:t xml:space="preserve"> року </w:t>
            </w:r>
            <w:r>
              <w:rPr>
                <w:color w:val="000000"/>
                <w:sz w:val="28"/>
                <w:szCs w:val="28"/>
              </w:rPr>
              <w:t>№        - МР</w:t>
            </w:r>
          </w:p>
          <w:p w:rsidR="00F62E58" w:rsidRDefault="006C4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Суми</w:t>
            </w:r>
          </w:p>
        </w:tc>
        <w:tc>
          <w:tcPr>
            <w:tcW w:w="4701" w:type="dxa"/>
          </w:tcPr>
          <w:p w:rsidR="00F62E58" w:rsidRDefault="00F62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F62E58">
        <w:tc>
          <w:tcPr>
            <w:tcW w:w="5334" w:type="dxa"/>
          </w:tcPr>
          <w:p w:rsidR="00F62E58" w:rsidRDefault="00F62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4701" w:type="dxa"/>
          </w:tcPr>
          <w:p w:rsidR="00F62E58" w:rsidRDefault="00F62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F62E58">
        <w:tc>
          <w:tcPr>
            <w:tcW w:w="5334" w:type="dxa"/>
          </w:tcPr>
          <w:p w:rsidR="00F62E58" w:rsidRDefault="006C4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звіту за результатами проведення моніторингу Стратегії розвитку Сумської міської територіальної громади до 2027 року за підсумками                2024 року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01" w:type="dxa"/>
          </w:tcPr>
          <w:p w:rsidR="00F62E58" w:rsidRDefault="00F62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</w:tbl>
    <w:p w:rsidR="00F62E58" w:rsidRDefault="00F62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F62E58" w:rsidRDefault="006C43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Розглянувши звіт</w:t>
      </w:r>
      <w:r>
        <w:rPr>
          <w:sz w:val="28"/>
          <w:szCs w:val="28"/>
        </w:rPr>
        <w:t xml:space="preserve"> за результатами проведення моніторингу Стратегії розвитку Сумської міської територіальної громади до 2027 року за підсумками 2024 року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відповідно до статті 11 Закону України «Про засади державної регіональної </w:t>
      </w:r>
      <w:proofErr w:type="spellStart"/>
      <w:r>
        <w:rPr>
          <w:sz w:val="28"/>
          <w:szCs w:val="28"/>
        </w:rPr>
        <w:t>політики»,</w:t>
      </w:r>
      <w:r>
        <w:rPr>
          <w:color w:val="000000"/>
          <w:sz w:val="28"/>
          <w:szCs w:val="28"/>
        </w:rPr>
        <w:t>керуючись</w:t>
      </w:r>
      <w:proofErr w:type="spellEnd"/>
      <w:r>
        <w:rPr>
          <w:color w:val="000000"/>
          <w:sz w:val="28"/>
          <w:szCs w:val="28"/>
        </w:rPr>
        <w:t xml:space="preserve"> статт</w:t>
      </w:r>
      <w:r>
        <w:rPr>
          <w:sz w:val="28"/>
          <w:szCs w:val="28"/>
        </w:rPr>
        <w:t xml:space="preserve">ею 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Закону України «Про місцеве самоврядування в Україні»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Сумська міська рада</w:t>
      </w:r>
    </w:p>
    <w:p w:rsidR="00F62E58" w:rsidRDefault="00F62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F62E58" w:rsidRDefault="006C43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ВИРІШИЛА:</w:t>
      </w:r>
    </w:p>
    <w:p w:rsidR="00F62E58" w:rsidRDefault="00F62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F62E58" w:rsidRDefault="006C43D4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Інформацію про результати моніторингу реалізації Стратегії розвитку Сумської міської територіальної громади до 2027 року за підсумками 2024 року взяти до відома.</w:t>
      </w:r>
    </w:p>
    <w:p w:rsidR="00F62E58" w:rsidRDefault="00F62E58">
      <w:pPr>
        <w:spacing w:line="276" w:lineRule="auto"/>
        <w:ind w:left="1" w:hanging="3"/>
        <w:jc w:val="both"/>
        <w:rPr>
          <w:sz w:val="28"/>
          <w:szCs w:val="28"/>
        </w:rPr>
      </w:pPr>
    </w:p>
    <w:p w:rsidR="00F62E58" w:rsidRDefault="006C43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00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Затвердити звіт за результатами проведення моніторингу Стратегії розвитку Сумської міської територіальної громади до 2027 року за підсумками 202</w:t>
      </w:r>
      <w:r>
        <w:rPr>
          <w:sz w:val="28"/>
          <w:szCs w:val="28"/>
        </w:rPr>
        <w:t>4 року (додається).</w:t>
      </w:r>
    </w:p>
    <w:p w:rsidR="00F62E58" w:rsidRDefault="00F62E5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00"/>
        </w:tabs>
        <w:spacing w:line="240" w:lineRule="auto"/>
        <w:ind w:left="1" w:hanging="3"/>
        <w:jc w:val="both"/>
        <w:rPr>
          <w:sz w:val="28"/>
          <w:szCs w:val="28"/>
        </w:rPr>
      </w:pPr>
    </w:p>
    <w:p w:rsidR="00F62E58" w:rsidRDefault="006C43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00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Визнати доцільним розробку оновленого Плану заходів з реалізації Стратегії розвитку Сумської міської територіальної громади до 2027 року на 2025–2027 роки з урахуванням результатів моніторингу, потреб громади та </w:t>
      </w:r>
      <w:proofErr w:type="spellStart"/>
      <w:r>
        <w:rPr>
          <w:sz w:val="28"/>
          <w:szCs w:val="28"/>
        </w:rPr>
        <w:t>безпекових</w:t>
      </w:r>
      <w:proofErr w:type="spellEnd"/>
      <w:r>
        <w:rPr>
          <w:sz w:val="28"/>
          <w:szCs w:val="28"/>
        </w:rPr>
        <w:t xml:space="preserve"> викликів.</w:t>
      </w:r>
    </w:p>
    <w:p w:rsidR="00F62E58" w:rsidRDefault="00F62E5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00"/>
        </w:tabs>
        <w:spacing w:line="240" w:lineRule="auto"/>
        <w:ind w:left="1" w:hanging="3"/>
        <w:jc w:val="both"/>
        <w:rPr>
          <w:sz w:val="28"/>
          <w:szCs w:val="28"/>
        </w:rPr>
      </w:pPr>
    </w:p>
    <w:p w:rsidR="00F62E58" w:rsidRDefault="006C43D4">
      <w:pPr>
        <w:numPr>
          <w:ilvl w:val="0"/>
          <w:numId w:val="1"/>
        </w:numPr>
        <w:ind w:left="1" w:right="148" w:hanging="3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Організацію виконання даного рішення покласти на виконавчі органи Сумської міської ради, координацію - на заступників міського голови згідно з розподілом обов’язків.</w:t>
      </w:r>
    </w:p>
    <w:p w:rsidR="00F62E58" w:rsidRDefault="00F62E58">
      <w:pPr>
        <w:ind w:left="1" w:right="148" w:hanging="3"/>
        <w:jc w:val="both"/>
        <w:rPr>
          <w:sz w:val="28"/>
          <w:szCs w:val="28"/>
        </w:rPr>
      </w:pPr>
    </w:p>
    <w:p w:rsidR="00F62E58" w:rsidRDefault="00F62E58">
      <w:pPr>
        <w:ind w:left="1" w:right="148" w:hanging="3"/>
        <w:jc w:val="both"/>
        <w:rPr>
          <w:sz w:val="28"/>
          <w:szCs w:val="28"/>
        </w:rPr>
      </w:pPr>
    </w:p>
    <w:p w:rsidR="00F62E58" w:rsidRDefault="006C43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8" w:hanging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виконанням даного рішення покласти на постійну комісію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 VІII скликання.</w:t>
      </w:r>
    </w:p>
    <w:p w:rsidR="00F62E58" w:rsidRDefault="00F62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F62E58" w:rsidRDefault="00F62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:rsidR="00F62E58" w:rsidRDefault="00F62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:rsidR="00F62E58" w:rsidRDefault="00F62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:rsidR="00F62E58" w:rsidRDefault="006C43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</w:pPr>
      <w:r>
        <w:rPr>
          <w:color w:val="000000"/>
          <w:sz w:val="28"/>
          <w:szCs w:val="28"/>
        </w:rPr>
        <w:t>Секретар Сумської міської ради                                                     Артем КОБЗАР</w:t>
      </w:r>
    </w:p>
    <w:p w:rsidR="00F62E58" w:rsidRDefault="00F62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F62E58" w:rsidRDefault="00F62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F62E58" w:rsidRDefault="006C43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Виконавець: __________ Оксана КУБРАК</w:t>
      </w:r>
    </w:p>
    <w:p w:rsidR="00F62E58" w:rsidRDefault="00F62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:rsidR="00F62E58" w:rsidRDefault="00F62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:rsidR="00F62E58" w:rsidRDefault="00F62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</w:rPr>
      </w:pPr>
    </w:p>
    <w:p w:rsidR="00F62E58" w:rsidRDefault="00F62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</w:rPr>
      </w:pPr>
    </w:p>
    <w:p w:rsidR="00F62E58" w:rsidRDefault="006C43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>Ініціатор розгляду питання –</w:t>
      </w:r>
      <w:r>
        <w:t xml:space="preserve"> Постійна комісія з питань планування соціально-економічного розвитку, бюджету, фінансів, розвитку підприємництва, торгівлі та послуг, регуляторної політики Сумської міської ради VІII скликання</w:t>
      </w:r>
    </w:p>
    <w:p w:rsidR="00F62E58" w:rsidRDefault="006C43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Проєкт</w:t>
      </w:r>
      <w:proofErr w:type="spellEnd"/>
      <w:r>
        <w:rPr>
          <w:color w:val="000000"/>
        </w:rPr>
        <w:t xml:space="preserve"> рішення підготовлений </w:t>
      </w:r>
      <w:r>
        <w:t>управлінням стратегічного розвитку міста СМР</w:t>
      </w:r>
    </w:p>
    <w:p w:rsidR="00F62E58" w:rsidRDefault="006C43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Доповідач: </w:t>
      </w:r>
      <w:r>
        <w:t>начальник управління стратегічного розвитку міста СМР: Оксана</w:t>
      </w:r>
      <w:r>
        <w:rPr>
          <w:color w:val="000000"/>
        </w:rPr>
        <w:t xml:space="preserve"> </w:t>
      </w:r>
      <w:r>
        <w:t>КУБРАК</w:t>
      </w: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</w:p>
    <w:p w:rsidR="00F62E58" w:rsidRDefault="00F62E58">
      <w:pPr>
        <w:ind w:left="1" w:hanging="3"/>
        <w:jc w:val="center"/>
        <w:rPr>
          <w:sz w:val="28"/>
          <w:szCs w:val="28"/>
        </w:rPr>
      </w:pPr>
      <w:bookmarkStart w:id="0" w:name="_GoBack"/>
      <w:bookmarkEnd w:id="0"/>
    </w:p>
    <w:sectPr w:rsidR="00F62E58">
      <w:footerReference w:type="default" r:id="rId9"/>
      <w:pgSz w:w="11906" w:h="16838"/>
      <w:pgMar w:top="1133" w:right="566" w:bottom="1133" w:left="1700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D4" w:rsidRDefault="006C43D4">
      <w:pPr>
        <w:spacing w:line="240" w:lineRule="auto"/>
        <w:ind w:left="0" w:hanging="2"/>
      </w:pPr>
      <w:r>
        <w:separator/>
      </w:r>
    </w:p>
  </w:endnote>
  <w:endnote w:type="continuationSeparator" w:id="0">
    <w:p w:rsidR="006C43D4" w:rsidRDefault="006C43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58" w:rsidRDefault="006C43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7708B">
      <w:rPr>
        <w:noProof/>
        <w:color w:val="000000"/>
      </w:rPr>
      <w:t>2</w:t>
    </w:r>
    <w:r>
      <w:rPr>
        <w:color w:val="000000"/>
      </w:rPr>
      <w:fldChar w:fldCharType="end"/>
    </w:r>
  </w:p>
  <w:p w:rsidR="00F62E58" w:rsidRDefault="00F62E5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D4" w:rsidRDefault="006C43D4">
      <w:pPr>
        <w:spacing w:line="240" w:lineRule="auto"/>
        <w:ind w:left="0" w:hanging="2"/>
      </w:pPr>
      <w:r>
        <w:separator/>
      </w:r>
    </w:p>
  </w:footnote>
  <w:footnote w:type="continuationSeparator" w:id="0">
    <w:p w:rsidR="006C43D4" w:rsidRDefault="006C43D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F70DF"/>
    <w:multiLevelType w:val="multilevel"/>
    <w:tmpl w:val="C1CE8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37708B"/>
    <w:rsid w:val="006C43D4"/>
    <w:rsid w:val="0086453D"/>
    <w:rsid w:val="00F6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D905"/>
  <w15:docId w15:val="{45ECFB6B-B16C-43D5-BD22-35571490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38"/>
      <w:szCs w:val="20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шрифт абзаца;Знак Знак"/>
    <w:rPr>
      <w:w w:val="100"/>
      <w:position w:val="-1"/>
      <w:effect w:val="none"/>
      <w:vertAlign w:val="baseline"/>
      <w:cs w:val="0"/>
      <w:em w:val="none"/>
    </w:rPr>
  </w:style>
  <w:style w:type="paragraph" w:customStyle="1" w:styleId="a5">
    <w:basedOn w:val="a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Body Text"/>
    <w:basedOn w:val="a"/>
    <w:pPr>
      <w:spacing w:after="120"/>
    </w:pPr>
  </w:style>
  <w:style w:type="paragraph" w:customStyle="1" w:styleId="a8">
    <w:name w:val="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f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"/>
    <w:basedOn w:val="a"/>
    <w:rPr>
      <w:rFonts w:ascii="Verdana" w:hAnsi="Verdana" w:cs="Verdana"/>
      <w:sz w:val="20"/>
      <w:szCs w:val="20"/>
      <w:lang w:val="en-US" w:eastAsia="en-US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a/0Wce9ured7DGKQuQsorElYjQ==">CgMxLjA4AHIhMUluUmRfUGotSEl4UG9ka0tqeC1vWWJ2UGdacFJNNHUw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Скиртач Л.А.</dc:creator>
  <cp:lastModifiedBy>Авраменко Тетяна Ігорівна</cp:lastModifiedBy>
  <cp:revision>3</cp:revision>
  <dcterms:created xsi:type="dcterms:W3CDTF">2012-12-21T06:30:00Z</dcterms:created>
  <dcterms:modified xsi:type="dcterms:W3CDTF">2025-07-21T11:51:00Z</dcterms:modified>
</cp:coreProperties>
</file>