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133E6" w:rsidRPr="00344BA1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344BA1">
              <w:rPr>
                <w:lang w:val="uk-UA"/>
              </w:rPr>
              <w:t>Проєкт</w:t>
            </w:r>
            <w:proofErr w:type="spellEnd"/>
          </w:p>
          <w:p w:rsidR="003133E6" w:rsidRPr="00344BA1" w:rsidRDefault="003133E6" w:rsidP="003133E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344BA1">
              <w:rPr>
                <w:lang w:val="uk-UA"/>
              </w:rPr>
              <w:t>оприлюднено</w:t>
            </w:r>
          </w:p>
          <w:p w:rsidR="00951BEB" w:rsidRPr="00406F63" w:rsidRDefault="003133E6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344BA1">
              <w:rPr>
                <w:szCs w:val="28"/>
                <w:lang w:val="uk-UA" w:eastAsia="en-US"/>
              </w:rPr>
              <w:t>«_____» вересня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3133E6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3133E6">
              <w:rPr>
                <w:lang w:val="uk-UA"/>
              </w:rPr>
              <w:t xml:space="preserve">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043650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043650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043650">
        <w:rPr>
          <w:szCs w:val="28"/>
          <w:lang w:val="uk-UA"/>
        </w:rPr>
        <w:t>ОСОБА 2</w:t>
      </w:r>
      <w:r w:rsidR="007D17BE">
        <w:rPr>
          <w:szCs w:val="28"/>
          <w:lang w:val="uk-UA"/>
        </w:rPr>
        <w:t>.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3133E6">
        <w:rPr>
          <w:rFonts w:ascii="Times New Roman CYR" w:hAnsi="Times New Roman CYR" w:cs="Times New Roman CYR"/>
          <w:szCs w:val="28"/>
          <w:lang w:val="uk-UA"/>
        </w:rPr>
        <w:t>14.09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3133E6">
        <w:rPr>
          <w:rFonts w:ascii="Times New Roman CYR" w:hAnsi="Times New Roman CYR" w:cs="Times New Roman CYR"/>
          <w:szCs w:val="28"/>
          <w:lang w:val="uk-UA"/>
        </w:rPr>
        <w:t>14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3133E6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043650">
        <w:rPr>
          <w:szCs w:val="28"/>
          <w:lang w:val="uk-UA"/>
        </w:rPr>
        <w:t>ОСОБА 2</w:t>
      </w:r>
      <w:bookmarkStart w:id="0" w:name="_GoBack"/>
      <w:bookmarkEnd w:id="0"/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7D17BE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7D17BE">
        <w:rPr>
          <w:lang w:val="uk-UA"/>
        </w:rPr>
        <w:t>доньки</w:t>
      </w:r>
      <w:r w:rsidR="00A650A8">
        <w:rPr>
          <w:lang w:val="uk-UA"/>
        </w:rPr>
        <w:t xml:space="preserve"> </w:t>
      </w:r>
      <w:r w:rsidR="00043650">
        <w:rPr>
          <w:szCs w:val="28"/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E86B0A">
        <w:rPr>
          <w:szCs w:val="28"/>
          <w:lang w:val="uk-UA"/>
        </w:rPr>
        <w:t>31.01</w:t>
      </w:r>
      <w:r w:rsidR="003133E6" w:rsidRPr="003133E6">
        <w:rPr>
          <w:szCs w:val="28"/>
          <w:lang w:val="uk-UA"/>
        </w:rPr>
        <w:t>.2016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7D17BE">
        <w:rPr>
          <w:lang w:val="uk-UA"/>
        </w:rPr>
        <w:t>кожної неділі з 10:00</w:t>
      </w:r>
      <w:r w:rsidR="00E86B0A">
        <w:rPr>
          <w:lang w:val="uk-UA"/>
        </w:rPr>
        <w:t xml:space="preserve"> години</w:t>
      </w:r>
      <w:r w:rsidR="007D17BE">
        <w:rPr>
          <w:lang w:val="uk-UA"/>
        </w:rPr>
        <w:t xml:space="preserve"> до 20:00</w:t>
      </w:r>
      <w:r w:rsidR="00A650A8" w:rsidRPr="00BA4425">
        <w:rPr>
          <w:szCs w:val="28"/>
          <w:lang w:val="uk-UA"/>
        </w:rPr>
        <w:t xml:space="preserve"> </w:t>
      </w:r>
      <w:r w:rsidR="00E86B0A">
        <w:rPr>
          <w:szCs w:val="28"/>
          <w:lang w:val="uk-UA"/>
        </w:rPr>
        <w:t xml:space="preserve">години,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43650"/>
    <w:rsid w:val="000C1F8B"/>
    <w:rsid w:val="001355A1"/>
    <w:rsid w:val="001B3676"/>
    <w:rsid w:val="002B61D5"/>
    <w:rsid w:val="002F31E5"/>
    <w:rsid w:val="003133E6"/>
    <w:rsid w:val="00322720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7D17BE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3BDF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23</cp:revision>
  <cp:lastPrinted>2021-09-16T12:41:00Z</cp:lastPrinted>
  <dcterms:created xsi:type="dcterms:W3CDTF">2021-02-12T11:50:00Z</dcterms:created>
  <dcterms:modified xsi:type="dcterms:W3CDTF">2021-09-16T12:49:00Z</dcterms:modified>
</cp:coreProperties>
</file>