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92" w:rsidRDefault="007B6692" w:rsidP="007B6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0" w:name="_GoBack"/>
      <w:proofErr w:type="spellStart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Аналіз</w:t>
      </w:r>
      <w:proofErr w:type="spellEnd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7B6692" w:rsidRDefault="007B6692" w:rsidP="007B6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B5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регуляторного</w:t>
      </w:r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впливу</w:t>
      </w:r>
      <w:proofErr w:type="spellEnd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7B6692" w:rsidRDefault="007B6692" w:rsidP="007B6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проекту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рішення</w:t>
      </w:r>
      <w:proofErr w:type="spellEnd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Сумської</w:t>
      </w:r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міської ради</w:t>
      </w:r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bookmarkEnd w:id="0"/>
    </w:p>
    <w:p w:rsidR="007B6692" w:rsidRPr="00724592" w:rsidRDefault="007B6692" w:rsidP="007B6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«Про </w:t>
      </w:r>
      <w:proofErr w:type="spellStart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затвердження</w:t>
      </w:r>
      <w:proofErr w:type="spellEnd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Положення</w:t>
      </w:r>
      <w:proofErr w:type="spellEnd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про </w:t>
      </w:r>
      <w:proofErr w:type="spellStart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самоврядний</w:t>
      </w:r>
      <w:proofErr w:type="spellEnd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контроль за </w:t>
      </w:r>
      <w:proofErr w:type="spellStart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використанням</w:t>
      </w:r>
      <w:proofErr w:type="spellEnd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та </w:t>
      </w:r>
      <w:proofErr w:type="spellStart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охороною</w:t>
      </w:r>
      <w:proofErr w:type="spellEnd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зем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ель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громади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м.</w:t>
      </w:r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Суми»</w:t>
      </w:r>
    </w:p>
    <w:p w:rsidR="007B6692" w:rsidRDefault="007B6692" w:rsidP="007B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692" w:rsidRPr="0024074E" w:rsidRDefault="007B6692" w:rsidP="007B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Регуляторний</w:t>
      </w:r>
      <w:proofErr w:type="spellEnd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орган: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Сумська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рада.</w:t>
      </w:r>
    </w:p>
    <w:p w:rsidR="007B6692" w:rsidRPr="0024074E" w:rsidRDefault="007B6692" w:rsidP="007B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Розробник</w:t>
      </w:r>
      <w:proofErr w:type="spellEnd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документа:</w:t>
      </w:r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департамент забезпечення ресурсних платежів Сумської міської ради.</w:t>
      </w:r>
    </w:p>
    <w:p w:rsidR="007B6692" w:rsidRDefault="007B6692" w:rsidP="007B6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Поштова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адреса: </w:t>
      </w:r>
      <w:r w:rsidRPr="001C0B0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40009, м. Суми, </w:t>
      </w:r>
      <w:proofErr w:type="spellStart"/>
      <w:r w:rsidRPr="001C0B0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вул</w:t>
      </w:r>
      <w:proofErr w:type="spellEnd"/>
      <w:r w:rsidRPr="001C0B0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proofErr w:type="spellStart"/>
      <w:r w:rsidRPr="001C0B0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Садова</w:t>
      </w:r>
      <w:proofErr w:type="spellEnd"/>
      <w:r w:rsidRPr="001C0B0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33</w:t>
      </w:r>
    </w:p>
    <w:p w:rsidR="007B6692" w:rsidRPr="0024074E" w:rsidRDefault="007B6692" w:rsidP="007B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Відповідальна</w:t>
      </w:r>
      <w:proofErr w:type="spellEnd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особа: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Клименко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Миколайович</w:t>
      </w:r>
    </w:p>
    <w:p w:rsidR="007B6692" w:rsidRPr="0024074E" w:rsidRDefault="007B6692" w:rsidP="007B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Контактний</w:t>
      </w:r>
      <w:proofErr w:type="spellEnd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телефон: </w:t>
      </w:r>
      <w:r w:rsidRPr="001C0B0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(0542)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700-404</w:t>
      </w:r>
    </w:p>
    <w:p w:rsidR="007B6692" w:rsidRDefault="007B6692" w:rsidP="007B6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692" w:rsidRDefault="007B6692" w:rsidP="007B6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регуляторного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Сумської міської ради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 Суми»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озроблений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Закону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засади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регуляторної політики у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сфері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господарської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діяльності» та Методики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аналізу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впливу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регуляторного акта,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затвердженої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11.03.2004 р. № 308</w:t>
      </w:r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змінами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B6692" w:rsidRDefault="007B6692" w:rsidP="007B6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B6692" w:rsidRPr="0024074E" w:rsidRDefault="007B6692" w:rsidP="007B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1. </w:t>
      </w:r>
      <w:proofErr w:type="spellStart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Визначення</w:t>
      </w:r>
      <w:proofErr w:type="spellEnd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проблеми</w:t>
      </w:r>
      <w:proofErr w:type="spellEnd"/>
    </w:p>
    <w:p w:rsidR="007B6692" w:rsidRDefault="007B6692" w:rsidP="007B6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Конституцією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земля є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основним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національним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багатством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перебуває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особливою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охороною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Землеохоронний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аспект у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земельній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державній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політиці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носить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імперативний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характер,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тобто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підлягає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безумовному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виконанню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Погіршення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якості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земель,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зниження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продуктивності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порушення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користування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землею є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неприпустимим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7B6692" w:rsidRPr="0024074E" w:rsidRDefault="007B6692" w:rsidP="007B6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Положеннями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Земельного кодексу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загальні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засади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контролю за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охороною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земель. Так,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Земельного кодексу</w:t>
      </w:r>
      <w:proofErr w:type="gram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Закону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охорону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земель»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19.06.2003 р. контроль за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охороною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земель в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поділяється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державний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самоврядний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громадський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B6692" w:rsidRPr="0024074E" w:rsidRDefault="007B6692" w:rsidP="007B6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цьому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виникає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певн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порожнеча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порядок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самоврядного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контролю. Порядок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контролю за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охороною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земель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встановлюється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законом (Закон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державний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контроль за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охороною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земель»).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Громадські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інспектори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діють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підставі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центральним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органом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виконавчої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ресурсів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стосується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самоврядного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контролю за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охороною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земель, то порядок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чинним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законодавством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врегульований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B6692" w:rsidRPr="0024074E" w:rsidRDefault="007B6692" w:rsidP="007B6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Після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введення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дію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Земельного кодексу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25.10.2001 р.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кількість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ділянок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надаються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користування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юридичним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фізичним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особам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збільшується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Пропорційно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збільшується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кількість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випадків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порушення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норм чинного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сфері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самовільного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зайняття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ділянок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ділянок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за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цільовим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порушення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умов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договорів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ділянок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Разом з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сьогодні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територіальна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громада міста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фактично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позбавлена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можливості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здійснювати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повноцінний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контроль за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охороною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земель,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якими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Земельного кодексу</w:t>
      </w:r>
      <w:proofErr w:type="gram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розпоряджається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рада.</w:t>
      </w:r>
    </w:p>
    <w:p w:rsidR="007B6692" w:rsidRPr="0024074E" w:rsidRDefault="007B6692" w:rsidP="007B6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зв’язку з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виникла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нагальна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потреба у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визначенні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механізму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самоврядного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контролю за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охороною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земель у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Суми</w:t>
      </w:r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B6692" w:rsidRPr="0024074E" w:rsidRDefault="007B6692" w:rsidP="007B6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Неможливість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розв’язання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вище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зазначеної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допомогою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ринкових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механізмів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обумовлена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існування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бути створена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відповідна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правова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основа. Як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вже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зазначалося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механізм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самоврядного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контролю за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охороною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земель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чинним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законодавством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визначений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B6692" w:rsidRPr="0024074E" w:rsidRDefault="007B6692" w:rsidP="007B6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Суб’єктами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проблема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справляє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негативний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вплив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є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застосовують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чинного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питань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імені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територіальної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розпоряджаються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землями міста, і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суб’єкти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господарювання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юридичні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фізичні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особи, у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користуванні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перебувають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міста.</w:t>
      </w:r>
    </w:p>
    <w:p w:rsidR="007B6692" w:rsidRPr="0024074E" w:rsidRDefault="007B6692" w:rsidP="007B6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Таким чином,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зазначена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проблема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потребує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негайного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шляхом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прийнят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міської ради про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відповідного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B6692" w:rsidRPr="00184272" w:rsidRDefault="007B6692" w:rsidP="007B669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272">
        <w:rPr>
          <w:rFonts w:ascii="Times New Roman" w:hAnsi="Times New Roman" w:cs="Times New Roman"/>
          <w:b/>
          <w:sz w:val="28"/>
          <w:szCs w:val="28"/>
        </w:rPr>
        <w:t>Визначення основних груп (підгруп), на які проблема справляє вплив: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51"/>
        <w:gridCol w:w="2042"/>
        <w:gridCol w:w="2552"/>
      </w:tblGrid>
      <w:tr w:rsidR="007B6692" w:rsidRPr="00184272" w:rsidTr="00F421B4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92" w:rsidRPr="00184272" w:rsidRDefault="007B6692" w:rsidP="00F421B4">
            <w:pPr>
              <w:jc w:val="center"/>
              <w:rPr>
                <w:sz w:val="28"/>
                <w:szCs w:val="28"/>
              </w:rPr>
            </w:pPr>
            <w:r w:rsidRPr="00184272">
              <w:rPr>
                <w:sz w:val="28"/>
                <w:szCs w:val="28"/>
              </w:rPr>
              <w:t>Групи (підгрупи)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92" w:rsidRPr="00184272" w:rsidRDefault="007B6692" w:rsidP="00F421B4">
            <w:pPr>
              <w:jc w:val="center"/>
              <w:rPr>
                <w:sz w:val="28"/>
                <w:szCs w:val="28"/>
              </w:rPr>
            </w:pPr>
            <w:r w:rsidRPr="00184272">
              <w:rPr>
                <w:sz w:val="28"/>
                <w:szCs w:val="28"/>
              </w:rPr>
              <w:t>Так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92" w:rsidRPr="00184272" w:rsidRDefault="007B6692" w:rsidP="00F421B4">
            <w:pPr>
              <w:jc w:val="center"/>
              <w:rPr>
                <w:sz w:val="28"/>
                <w:szCs w:val="28"/>
              </w:rPr>
            </w:pPr>
            <w:r w:rsidRPr="00184272">
              <w:rPr>
                <w:sz w:val="28"/>
                <w:szCs w:val="28"/>
              </w:rPr>
              <w:t>Ні</w:t>
            </w:r>
          </w:p>
        </w:tc>
      </w:tr>
      <w:tr w:rsidR="007B6692" w:rsidRPr="00184272" w:rsidTr="00F421B4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92" w:rsidRPr="00184272" w:rsidRDefault="007B6692" w:rsidP="00F421B4">
            <w:pPr>
              <w:jc w:val="both"/>
              <w:rPr>
                <w:sz w:val="28"/>
                <w:szCs w:val="28"/>
              </w:rPr>
            </w:pPr>
            <w:r w:rsidRPr="00184272">
              <w:rPr>
                <w:sz w:val="28"/>
                <w:szCs w:val="28"/>
              </w:rPr>
              <w:t>Громадяни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92" w:rsidRPr="00184272" w:rsidRDefault="007B6692" w:rsidP="00F42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92" w:rsidRPr="00184272" w:rsidRDefault="007B6692" w:rsidP="00F42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B6692" w:rsidRPr="00184272" w:rsidTr="00F421B4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92" w:rsidRPr="00184272" w:rsidRDefault="007B6692" w:rsidP="00F42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 місцевого самоврядування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92" w:rsidRPr="00184272" w:rsidRDefault="007B6692" w:rsidP="00F421B4">
            <w:pPr>
              <w:jc w:val="center"/>
              <w:rPr>
                <w:sz w:val="28"/>
                <w:szCs w:val="28"/>
              </w:rPr>
            </w:pPr>
            <w:r w:rsidRPr="00184272">
              <w:rPr>
                <w:sz w:val="28"/>
                <w:szCs w:val="28"/>
              </w:rPr>
              <w:t>+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92" w:rsidRPr="00184272" w:rsidRDefault="007B6692" w:rsidP="00F421B4">
            <w:pPr>
              <w:jc w:val="center"/>
              <w:rPr>
                <w:sz w:val="28"/>
                <w:szCs w:val="28"/>
              </w:rPr>
            </w:pPr>
            <w:r w:rsidRPr="00184272">
              <w:rPr>
                <w:sz w:val="28"/>
                <w:szCs w:val="28"/>
              </w:rPr>
              <w:t>-</w:t>
            </w:r>
          </w:p>
        </w:tc>
      </w:tr>
      <w:tr w:rsidR="007B6692" w:rsidRPr="00184272" w:rsidTr="00F421B4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92" w:rsidRPr="00184272" w:rsidRDefault="007B6692" w:rsidP="00F421B4">
            <w:pPr>
              <w:jc w:val="both"/>
              <w:rPr>
                <w:sz w:val="28"/>
                <w:szCs w:val="28"/>
              </w:rPr>
            </w:pPr>
            <w:r w:rsidRPr="00184272">
              <w:rPr>
                <w:sz w:val="28"/>
                <w:szCs w:val="28"/>
              </w:rPr>
              <w:t>Суб’єкти господарювання – орендарі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92" w:rsidRPr="00184272" w:rsidRDefault="007B6692" w:rsidP="00F421B4">
            <w:pPr>
              <w:jc w:val="center"/>
              <w:rPr>
                <w:sz w:val="28"/>
                <w:szCs w:val="28"/>
              </w:rPr>
            </w:pPr>
            <w:r w:rsidRPr="00184272">
              <w:rPr>
                <w:sz w:val="28"/>
                <w:szCs w:val="28"/>
              </w:rPr>
              <w:t>+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92" w:rsidRPr="00184272" w:rsidRDefault="007B6692" w:rsidP="00F421B4">
            <w:pPr>
              <w:jc w:val="center"/>
              <w:rPr>
                <w:sz w:val="28"/>
                <w:szCs w:val="28"/>
              </w:rPr>
            </w:pPr>
            <w:r w:rsidRPr="00184272">
              <w:rPr>
                <w:sz w:val="28"/>
                <w:szCs w:val="28"/>
              </w:rPr>
              <w:t>-</w:t>
            </w:r>
          </w:p>
        </w:tc>
      </w:tr>
    </w:tbl>
    <w:p w:rsidR="007B6692" w:rsidRDefault="007B6692" w:rsidP="007B6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B6692" w:rsidRPr="0024074E" w:rsidRDefault="007B6692" w:rsidP="007B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2. </w:t>
      </w:r>
      <w:proofErr w:type="spellStart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Цілі</w:t>
      </w:r>
      <w:proofErr w:type="spellEnd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регулювання</w:t>
      </w:r>
      <w:proofErr w:type="spellEnd"/>
    </w:p>
    <w:p w:rsidR="007B6692" w:rsidRPr="0024074E" w:rsidRDefault="007B6692" w:rsidP="007B6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Метою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прийняття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Сумської</w:t>
      </w:r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міської ради «Про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оложення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самоврядний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контроль за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охороною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</w:t>
      </w:r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Суми» </w:t>
      </w:r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є:</w:t>
      </w:r>
    </w:p>
    <w:p w:rsidR="007B6692" w:rsidRPr="0024074E" w:rsidRDefault="007B6692" w:rsidP="007B6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впорядкованої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прозорої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контролю за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охороною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земель міста;</w:t>
      </w:r>
    </w:p>
    <w:p w:rsidR="007B6692" w:rsidRPr="0024074E" w:rsidRDefault="007B6692" w:rsidP="007B6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сучасного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правового простору,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буде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відповідати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потребам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стимулювати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зобов’язувати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землекористувачів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дотримання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норм чинного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сфері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B6692" w:rsidRPr="0024074E" w:rsidRDefault="007B6692" w:rsidP="007B6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</w:t>
      </w:r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забезпечення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своєчасного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надходження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міського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бюджету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орендної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плати за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земельні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шляхом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контролю за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дотриманням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умов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договорів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ділянок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орендарями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B6692" w:rsidRPr="0024074E" w:rsidRDefault="007B6692" w:rsidP="007B6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врегулювання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питань,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пов’язаних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з:</w:t>
      </w:r>
    </w:p>
    <w:p w:rsidR="007B6692" w:rsidRPr="0024074E" w:rsidRDefault="007B6692" w:rsidP="007B6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а)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можливістю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виявлення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самовільно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зайнятих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ділянок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додержанням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земельного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встановленого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порядку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набуття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реалізації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права на землю;</w:t>
      </w:r>
    </w:p>
    <w:p w:rsidR="007B6692" w:rsidRPr="0024074E" w:rsidRDefault="007B6692" w:rsidP="007B6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методичної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рекомендацій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власникам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ділянок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питань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земель;</w:t>
      </w:r>
    </w:p>
    <w:p w:rsidR="007B6692" w:rsidRPr="0024074E" w:rsidRDefault="007B6692" w:rsidP="007B6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в)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захистом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власників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ділянок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землекористувачів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шляхом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суперечок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межах</w:t>
      </w:r>
      <w:proofErr w:type="gram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міста і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додержанням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правил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добросусідства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B6692" w:rsidRPr="0024074E" w:rsidRDefault="007B6692" w:rsidP="007B6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визначенням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повноважень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органів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беруть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участь у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здійсненні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самоврядного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контролю.</w:t>
      </w:r>
    </w:p>
    <w:p w:rsidR="007B6692" w:rsidRDefault="007B6692" w:rsidP="007B6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B6692" w:rsidRPr="0024074E" w:rsidRDefault="007B6692" w:rsidP="007B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3. </w:t>
      </w:r>
      <w:proofErr w:type="spellStart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Альтернативні</w:t>
      </w:r>
      <w:proofErr w:type="spellEnd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способи</w:t>
      </w:r>
      <w:proofErr w:type="spellEnd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досягнення</w:t>
      </w:r>
      <w:proofErr w:type="spellEnd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цілей</w:t>
      </w:r>
      <w:proofErr w:type="spellEnd"/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6603"/>
      </w:tblGrid>
      <w:tr w:rsidR="007B6692" w:rsidRPr="00C77A6B" w:rsidTr="00F421B4">
        <w:trPr>
          <w:jc w:val="center"/>
        </w:trPr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692" w:rsidRPr="00C77A6B" w:rsidRDefault="007B6692" w:rsidP="00F42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  <w:t>Вид альтернативи</w:t>
            </w:r>
          </w:p>
        </w:tc>
        <w:tc>
          <w:tcPr>
            <w:tcW w:w="3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692" w:rsidRPr="00C77A6B" w:rsidRDefault="007B6692" w:rsidP="00F42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  <w:t>Опис альтернативи</w:t>
            </w:r>
          </w:p>
        </w:tc>
      </w:tr>
      <w:tr w:rsidR="007B6692" w:rsidRPr="00C77A6B" w:rsidTr="00F421B4">
        <w:trPr>
          <w:jc w:val="center"/>
        </w:trPr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692" w:rsidRPr="00C77A6B" w:rsidRDefault="007B6692" w:rsidP="00F42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  <w:t>Альтернатива 1</w:t>
            </w:r>
          </w:p>
        </w:tc>
        <w:tc>
          <w:tcPr>
            <w:tcW w:w="3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692" w:rsidRPr="00C77A6B" w:rsidRDefault="007B6692" w:rsidP="00F42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не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прийняття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рішення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Сумської міської ради «Про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затвердження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Положення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самоврядний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контроль за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використанням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охороною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м.</w:t>
            </w:r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Суми» буде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призводити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збільшення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випадків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порушення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норм чинного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законодавства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сфері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земельних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відносин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самовільного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зайняття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земл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використання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 за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цільовим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призначенням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тощо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7B6692" w:rsidRPr="00C77A6B" w:rsidRDefault="007B6692" w:rsidP="00F42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Така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альтернатива є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неприйнятною</w:t>
            </w:r>
            <w:proofErr w:type="spellEnd"/>
          </w:p>
        </w:tc>
      </w:tr>
      <w:tr w:rsidR="007B6692" w:rsidRPr="00C77A6B" w:rsidTr="00F421B4">
        <w:trPr>
          <w:jc w:val="center"/>
        </w:trPr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692" w:rsidRPr="00C77A6B" w:rsidRDefault="007B6692" w:rsidP="00F42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  <w:t>Альтернатива 2</w:t>
            </w:r>
          </w:p>
        </w:tc>
        <w:tc>
          <w:tcPr>
            <w:tcW w:w="3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692" w:rsidRPr="00C77A6B" w:rsidRDefault="007B6692" w:rsidP="00F42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прийняття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рішення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«Про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затвердження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Положення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самоврядний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контроль за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використанням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охороною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земель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м.</w:t>
            </w:r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Суми»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стимулюватиме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зобов’язуватиме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землекористувачів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дотримуватися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вимог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земельного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законодавства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сприятиме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охороні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раціональному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використанню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земель,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своєчасному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оформленню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переоформленню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користувачами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документів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посвідчують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земельну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ділянку</w:t>
            </w:r>
            <w:proofErr w:type="spellEnd"/>
            <w:r w:rsidRPr="00C77A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</w:tbl>
    <w:p w:rsidR="007B6692" w:rsidRDefault="007B6692" w:rsidP="007B6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B6692" w:rsidRDefault="007B6692" w:rsidP="007B66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 w:bidi="th-TH"/>
        </w:rPr>
      </w:pPr>
      <w:r>
        <w:rPr>
          <w:sz w:val="28"/>
          <w:szCs w:val="28"/>
          <w:lang w:val="uk-UA" w:bidi="th-TH"/>
        </w:rPr>
        <w:t xml:space="preserve">Під час проведення оцінки впливу на сферу інтересів суб’єктів господарювання </w:t>
      </w:r>
      <w:r>
        <w:rPr>
          <w:b/>
          <w:bCs/>
          <w:sz w:val="28"/>
          <w:szCs w:val="28"/>
          <w:lang w:val="uk-UA" w:bidi="th-TH"/>
        </w:rPr>
        <w:t>великого і середнього підприємництва</w:t>
      </w:r>
      <w:r>
        <w:rPr>
          <w:sz w:val="28"/>
          <w:szCs w:val="28"/>
          <w:lang w:val="uk-UA" w:bidi="th-TH"/>
        </w:rPr>
        <w:t xml:space="preserve"> окремо кількісно визначаються витрати, які будуть виникати внаслідок дії регуляторного </w:t>
      </w:r>
      <w:proofErr w:type="spellStart"/>
      <w:r>
        <w:rPr>
          <w:sz w:val="28"/>
          <w:szCs w:val="28"/>
          <w:lang w:val="uk-UA" w:bidi="th-TH"/>
        </w:rPr>
        <w:t>акта</w:t>
      </w:r>
      <w:proofErr w:type="spellEnd"/>
      <w:r>
        <w:rPr>
          <w:sz w:val="28"/>
          <w:szCs w:val="28"/>
          <w:lang w:val="uk-UA" w:bidi="th-TH"/>
        </w:rPr>
        <w:t xml:space="preserve"> (згідно з додатком 2 до Методики проведення аналізу впливу регуляторного </w:t>
      </w:r>
      <w:proofErr w:type="spellStart"/>
      <w:r>
        <w:rPr>
          <w:sz w:val="28"/>
          <w:szCs w:val="28"/>
          <w:lang w:val="uk-UA" w:bidi="th-TH"/>
        </w:rPr>
        <w:t>акта</w:t>
      </w:r>
      <w:proofErr w:type="spellEnd"/>
      <w:r>
        <w:rPr>
          <w:sz w:val="28"/>
          <w:szCs w:val="28"/>
          <w:lang w:val="uk-UA" w:bidi="th-TH"/>
        </w:rPr>
        <w:t>).</w:t>
      </w:r>
    </w:p>
    <w:p w:rsidR="007B6692" w:rsidRDefault="007B6692" w:rsidP="007B66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 w:bidi="th-TH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7"/>
        <w:gridCol w:w="1072"/>
      </w:tblGrid>
      <w:tr w:rsidR="007B6692" w:rsidTr="00F421B4">
        <w:tc>
          <w:tcPr>
            <w:tcW w:w="4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692" w:rsidRDefault="007B6692" w:rsidP="00F421B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bookmarkStart w:id="1" w:name="n150"/>
            <w:bookmarkEnd w:id="1"/>
            <w:r>
              <w:rPr>
                <w:sz w:val="20"/>
                <w:szCs w:val="20"/>
                <w:lang w:val="uk-UA" w:bidi="th-TH"/>
              </w:rPr>
              <w:t>Сумарні витрати за альтернативами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692" w:rsidRDefault="007B6692" w:rsidP="00F421B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>
              <w:rPr>
                <w:sz w:val="20"/>
                <w:szCs w:val="20"/>
                <w:lang w:val="uk-UA" w:bidi="th-TH"/>
              </w:rPr>
              <w:t>Річна сума витрат, млн. грн.</w:t>
            </w:r>
          </w:p>
        </w:tc>
      </w:tr>
      <w:tr w:rsidR="007B6692" w:rsidTr="00F421B4">
        <w:trPr>
          <w:trHeight w:val="528"/>
        </w:trPr>
        <w:tc>
          <w:tcPr>
            <w:tcW w:w="4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692" w:rsidRDefault="007B6692" w:rsidP="00F421B4">
            <w:pPr>
              <w:pStyle w:val="rvps14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 w:bidi="th-TH"/>
              </w:rPr>
            </w:pPr>
            <w:r>
              <w:rPr>
                <w:sz w:val="20"/>
                <w:szCs w:val="20"/>
                <w:lang w:val="uk-UA" w:bidi="th-TH"/>
              </w:rPr>
              <w:t>Альтернатива 1. Неприйнятна.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692" w:rsidRDefault="007B6692" w:rsidP="00F421B4">
            <w:pPr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7B6692" w:rsidTr="00F421B4">
        <w:trPr>
          <w:trHeight w:val="865"/>
        </w:trPr>
        <w:tc>
          <w:tcPr>
            <w:tcW w:w="4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692" w:rsidRDefault="007B6692" w:rsidP="00F421B4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 w:bidi="th-TH"/>
              </w:rPr>
            </w:pPr>
            <w:r>
              <w:rPr>
                <w:sz w:val="20"/>
                <w:szCs w:val="20"/>
                <w:lang w:val="uk-UA" w:bidi="th-TH"/>
              </w:rPr>
              <w:lastRenderedPageBreak/>
              <w:t xml:space="preserve">Альтернатива 2. 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</w:t>
            </w:r>
            <w:proofErr w:type="spellStart"/>
            <w:r>
              <w:rPr>
                <w:sz w:val="20"/>
                <w:szCs w:val="20"/>
                <w:lang w:val="uk-UA" w:bidi="th-TH"/>
              </w:rPr>
              <w:t>акта</w:t>
            </w:r>
            <w:proofErr w:type="spellEnd"/>
            <w:r>
              <w:rPr>
                <w:sz w:val="20"/>
                <w:szCs w:val="20"/>
                <w:lang w:val="uk-UA" w:bidi="th-TH"/>
              </w:rPr>
              <w:t xml:space="preserve"> (рядок 11 таблиці «Витрати на одного суб’єкта господарювання великого і середнього підприємництва, які виникають внаслідок дії регуляторного </w:t>
            </w:r>
            <w:proofErr w:type="spellStart"/>
            <w:r>
              <w:rPr>
                <w:sz w:val="20"/>
                <w:szCs w:val="20"/>
                <w:lang w:val="uk-UA" w:bidi="th-TH"/>
              </w:rPr>
              <w:t>акта</w:t>
            </w:r>
            <w:proofErr w:type="spellEnd"/>
            <w:r>
              <w:rPr>
                <w:sz w:val="20"/>
                <w:szCs w:val="20"/>
                <w:lang w:val="uk-UA" w:bidi="th-TH"/>
              </w:rPr>
              <w:t xml:space="preserve">») 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692" w:rsidRDefault="007B6692" w:rsidP="00F421B4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>
              <w:rPr>
                <w:sz w:val="20"/>
                <w:szCs w:val="20"/>
                <w:lang w:val="uk-UA" w:bidi="th-TH"/>
              </w:rPr>
              <w:t>-</w:t>
            </w:r>
          </w:p>
        </w:tc>
      </w:tr>
    </w:tbl>
    <w:p w:rsidR="007B6692" w:rsidRDefault="007B6692" w:rsidP="007B6692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sz w:val="20"/>
          <w:szCs w:val="20"/>
          <w:bdr w:val="none" w:sz="0" w:space="0" w:color="auto" w:frame="1"/>
          <w:lang w:val="uk-UA" w:bidi="th-TH"/>
        </w:rPr>
      </w:pPr>
    </w:p>
    <w:p w:rsidR="007B6692" w:rsidRDefault="007B6692" w:rsidP="007B6692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sz w:val="20"/>
          <w:szCs w:val="20"/>
          <w:bdr w:val="none" w:sz="0" w:space="0" w:color="auto" w:frame="1"/>
          <w:lang w:bidi="th-TH"/>
        </w:rPr>
      </w:pPr>
      <w:r>
        <w:rPr>
          <w:rStyle w:val="rvts15"/>
          <w:b/>
          <w:bCs/>
          <w:sz w:val="20"/>
          <w:szCs w:val="20"/>
          <w:bdr w:val="none" w:sz="0" w:space="0" w:color="auto" w:frame="1"/>
          <w:lang w:bidi="th-TH"/>
        </w:rPr>
        <w:t>ВИТРАТИ</w:t>
      </w:r>
      <w:r>
        <w:rPr>
          <w:rStyle w:val="apple-converted-space"/>
          <w:b/>
          <w:bCs/>
          <w:sz w:val="20"/>
          <w:szCs w:val="20"/>
          <w:bdr w:val="none" w:sz="0" w:space="0" w:color="auto" w:frame="1"/>
          <w:lang w:val="uk-UA" w:bidi="th-TH"/>
        </w:rPr>
        <w:t> </w:t>
      </w:r>
      <w:r>
        <w:rPr>
          <w:sz w:val="20"/>
          <w:szCs w:val="20"/>
          <w:lang w:val="uk-UA" w:bidi="th-TH"/>
        </w:rPr>
        <w:br/>
      </w:r>
      <w:r>
        <w:rPr>
          <w:rStyle w:val="rvts15"/>
          <w:b/>
          <w:bCs/>
          <w:sz w:val="20"/>
          <w:szCs w:val="20"/>
          <w:bdr w:val="none" w:sz="0" w:space="0" w:color="auto" w:frame="1"/>
          <w:lang w:bidi="th-TH"/>
        </w:rPr>
        <w:t xml:space="preserve">на одного </w:t>
      </w:r>
      <w:proofErr w:type="spellStart"/>
      <w:r>
        <w:rPr>
          <w:rStyle w:val="rvts15"/>
          <w:b/>
          <w:bCs/>
          <w:sz w:val="20"/>
          <w:szCs w:val="20"/>
          <w:bdr w:val="none" w:sz="0" w:space="0" w:color="auto" w:frame="1"/>
          <w:lang w:bidi="th-TH"/>
        </w:rPr>
        <w:t>суб’єкта</w:t>
      </w:r>
      <w:proofErr w:type="spellEnd"/>
      <w:r>
        <w:rPr>
          <w:rStyle w:val="rvts15"/>
          <w:b/>
          <w:bCs/>
          <w:sz w:val="20"/>
          <w:szCs w:val="20"/>
          <w:bdr w:val="none" w:sz="0" w:space="0" w:color="auto" w:frame="1"/>
          <w:lang w:bidi="th-TH"/>
        </w:rPr>
        <w:t xml:space="preserve"> </w:t>
      </w:r>
      <w:proofErr w:type="spellStart"/>
      <w:r>
        <w:rPr>
          <w:rStyle w:val="rvts15"/>
          <w:b/>
          <w:bCs/>
          <w:sz w:val="20"/>
          <w:szCs w:val="20"/>
          <w:bdr w:val="none" w:sz="0" w:space="0" w:color="auto" w:frame="1"/>
          <w:lang w:bidi="th-TH"/>
        </w:rPr>
        <w:t>господарювання</w:t>
      </w:r>
      <w:proofErr w:type="spellEnd"/>
      <w:r>
        <w:rPr>
          <w:rStyle w:val="rvts15"/>
          <w:b/>
          <w:bCs/>
          <w:sz w:val="20"/>
          <w:szCs w:val="20"/>
          <w:bdr w:val="none" w:sz="0" w:space="0" w:color="auto" w:frame="1"/>
          <w:lang w:bidi="th-TH"/>
        </w:rPr>
        <w:t xml:space="preserve"> великого і </w:t>
      </w:r>
      <w:proofErr w:type="spellStart"/>
      <w:r>
        <w:rPr>
          <w:rStyle w:val="rvts15"/>
          <w:b/>
          <w:bCs/>
          <w:sz w:val="20"/>
          <w:szCs w:val="20"/>
          <w:bdr w:val="none" w:sz="0" w:space="0" w:color="auto" w:frame="1"/>
          <w:lang w:bidi="th-TH"/>
        </w:rPr>
        <w:t>середнього</w:t>
      </w:r>
      <w:proofErr w:type="spellEnd"/>
      <w:r>
        <w:rPr>
          <w:rStyle w:val="rvts15"/>
          <w:b/>
          <w:bCs/>
          <w:sz w:val="20"/>
          <w:szCs w:val="20"/>
          <w:bdr w:val="none" w:sz="0" w:space="0" w:color="auto" w:frame="1"/>
          <w:lang w:bidi="th-TH"/>
        </w:rPr>
        <w:t xml:space="preserve"> </w:t>
      </w:r>
      <w:proofErr w:type="spellStart"/>
      <w:r>
        <w:rPr>
          <w:rStyle w:val="rvts15"/>
          <w:b/>
          <w:bCs/>
          <w:sz w:val="20"/>
          <w:szCs w:val="20"/>
          <w:bdr w:val="none" w:sz="0" w:space="0" w:color="auto" w:frame="1"/>
          <w:lang w:bidi="th-TH"/>
        </w:rPr>
        <w:t>підприємництва</w:t>
      </w:r>
      <w:proofErr w:type="spellEnd"/>
      <w:r>
        <w:rPr>
          <w:rStyle w:val="rvts15"/>
          <w:b/>
          <w:bCs/>
          <w:sz w:val="20"/>
          <w:szCs w:val="20"/>
          <w:bdr w:val="none" w:sz="0" w:space="0" w:color="auto" w:frame="1"/>
          <w:lang w:bidi="th-TH"/>
        </w:rPr>
        <w:t xml:space="preserve">, </w:t>
      </w:r>
      <w:proofErr w:type="spellStart"/>
      <w:r>
        <w:rPr>
          <w:rStyle w:val="rvts15"/>
          <w:b/>
          <w:bCs/>
          <w:sz w:val="20"/>
          <w:szCs w:val="20"/>
          <w:bdr w:val="none" w:sz="0" w:space="0" w:color="auto" w:frame="1"/>
          <w:lang w:bidi="th-TH"/>
        </w:rPr>
        <w:t>які</w:t>
      </w:r>
      <w:proofErr w:type="spellEnd"/>
      <w:r>
        <w:rPr>
          <w:rStyle w:val="rvts15"/>
          <w:b/>
          <w:bCs/>
          <w:sz w:val="20"/>
          <w:szCs w:val="20"/>
          <w:bdr w:val="none" w:sz="0" w:space="0" w:color="auto" w:frame="1"/>
          <w:lang w:bidi="th-TH"/>
        </w:rPr>
        <w:t xml:space="preserve"> </w:t>
      </w:r>
      <w:proofErr w:type="spellStart"/>
      <w:r>
        <w:rPr>
          <w:rStyle w:val="rvts15"/>
          <w:b/>
          <w:bCs/>
          <w:sz w:val="20"/>
          <w:szCs w:val="20"/>
          <w:bdr w:val="none" w:sz="0" w:space="0" w:color="auto" w:frame="1"/>
          <w:lang w:bidi="th-TH"/>
        </w:rPr>
        <w:t>виникають</w:t>
      </w:r>
      <w:proofErr w:type="spellEnd"/>
      <w:r>
        <w:rPr>
          <w:rStyle w:val="rvts15"/>
          <w:b/>
          <w:bCs/>
          <w:sz w:val="20"/>
          <w:szCs w:val="20"/>
          <w:bdr w:val="none" w:sz="0" w:space="0" w:color="auto" w:frame="1"/>
          <w:lang w:bidi="th-TH"/>
        </w:rPr>
        <w:t xml:space="preserve"> </w:t>
      </w:r>
      <w:proofErr w:type="spellStart"/>
      <w:r>
        <w:rPr>
          <w:rStyle w:val="rvts15"/>
          <w:b/>
          <w:bCs/>
          <w:sz w:val="20"/>
          <w:szCs w:val="20"/>
          <w:bdr w:val="none" w:sz="0" w:space="0" w:color="auto" w:frame="1"/>
          <w:lang w:bidi="th-TH"/>
        </w:rPr>
        <w:t>внаслідок</w:t>
      </w:r>
      <w:proofErr w:type="spellEnd"/>
      <w:r>
        <w:rPr>
          <w:rStyle w:val="rvts15"/>
          <w:b/>
          <w:bCs/>
          <w:sz w:val="20"/>
          <w:szCs w:val="20"/>
          <w:bdr w:val="none" w:sz="0" w:space="0" w:color="auto" w:frame="1"/>
          <w:lang w:bidi="th-TH"/>
        </w:rPr>
        <w:t xml:space="preserve"> </w:t>
      </w:r>
      <w:proofErr w:type="spellStart"/>
      <w:r>
        <w:rPr>
          <w:rStyle w:val="rvts15"/>
          <w:b/>
          <w:bCs/>
          <w:sz w:val="20"/>
          <w:szCs w:val="20"/>
          <w:bdr w:val="none" w:sz="0" w:space="0" w:color="auto" w:frame="1"/>
          <w:lang w:bidi="th-TH"/>
        </w:rPr>
        <w:t>дії</w:t>
      </w:r>
      <w:proofErr w:type="spellEnd"/>
      <w:r>
        <w:rPr>
          <w:rStyle w:val="rvts15"/>
          <w:b/>
          <w:bCs/>
          <w:sz w:val="20"/>
          <w:szCs w:val="20"/>
          <w:bdr w:val="none" w:sz="0" w:space="0" w:color="auto" w:frame="1"/>
          <w:lang w:bidi="th-TH"/>
        </w:rPr>
        <w:t xml:space="preserve"> регуляторного акта</w:t>
      </w:r>
    </w:p>
    <w:p w:rsidR="007B6692" w:rsidRDefault="007B6692" w:rsidP="007B6692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sz w:val="20"/>
          <w:szCs w:val="20"/>
          <w:u w:val="single"/>
          <w:bdr w:val="none" w:sz="0" w:space="0" w:color="auto" w:frame="1"/>
          <w:lang w:bidi="th-TH"/>
        </w:rPr>
      </w:pPr>
      <w:r>
        <w:rPr>
          <w:rStyle w:val="rvts15"/>
          <w:b/>
          <w:bCs/>
          <w:sz w:val="20"/>
          <w:szCs w:val="20"/>
          <w:u w:val="single"/>
          <w:bdr w:val="none" w:sz="0" w:space="0" w:color="auto" w:frame="1"/>
          <w:lang w:bidi="th-TH"/>
        </w:rPr>
        <w:t xml:space="preserve">по </w:t>
      </w:r>
      <w:proofErr w:type="spellStart"/>
      <w:r>
        <w:rPr>
          <w:rStyle w:val="rvts15"/>
          <w:b/>
          <w:bCs/>
          <w:sz w:val="20"/>
          <w:szCs w:val="20"/>
          <w:u w:val="single"/>
          <w:bdr w:val="none" w:sz="0" w:space="0" w:color="auto" w:frame="1"/>
          <w:lang w:bidi="th-TH"/>
        </w:rPr>
        <w:t>альтернативі</w:t>
      </w:r>
      <w:proofErr w:type="spellEnd"/>
      <w:r>
        <w:rPr>
          <w:rStyle w:val="rvts15"/>
          <w:b/>
          <w:bCs/>
          <w:sz w:val="20"/>
          <w:szCs w:val="20"/>
          <w:u w:val="single"/>
          <w:bdr w:val="none" w:sz="0" w:space="0" w:color="auto" w:frame="1"/>
          <w:lang w:bidi="th-TH"/>
        </w:rPr>
        <w:t xml:space="preserve"> 2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5627"/>
        <w:gridCol w:w="1060"/>
        <w:gridCol w:w="1228"/>
      </w:tblGrid>
      <w:tr w:rsidR="007B6692" w:rsidTr="00F421B4">
        <w:trPr>
          <w:jc w:val="center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692" w:rsidRDefault="007B6692" w:rsidP="00F421B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>
              <w:rPr>
                <w:sz w:val="20"/>
                <w:szCs w:val="20"/>
                <w:lang w:val="uk-UA" w:bidi="th-TH"/>
              </w:rPr>
              <w:t>Порядковий номер</w:t>
            </w:r>
          </w:p>
        </w:tc>
        <w:tc>
          <w:tcPr>
            <w:tcW w:w="3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692" w:rsidRDefault="007B6692" w:rsidP="00F421B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>
              <w:rPr>
                <w:sz w:val="20"/>
                <w:szCs w:val="20"/>
                <w:lang w:val="uk-UA" w:bidi="th-TH"/>
              </w:rPr>
              <w:t>Витрати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692" w:rsidRDefault="007B6692" w:rsidP="00F421B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>
              <w:rPr>
                <w:sz w:val="20"/>
                <w:szCs w:val="20"/>
                <w:lang w:val="uk-UA" w:bidi="th-TH"/>
              </w:rPr>
              <w:t>За перший рік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692" w:rsidRDefault="007B6692" w:rsidP="00F421B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>
              <w:rPr>
                <w:sz w:val="20"/>
                <w:szCs w:val="20"/>
                <w:lang w:val="uk-UA" w:bidi="th-TH"/>
              </w:rPr>
              <w:t>За п’ять років</w:t>
            </w:r>
          </w:p>
        </w:tc>
      </w:tr>
      <w:tr w:rsidR="007B6692" w:rsidTr="00F421B4">
        <w:trPr>
          <w:jc w:val="center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692" w:rsidRDefault="007B6692" w:rsidP="00F421B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>
              <w:rPr>
                <w:sz w:val="20"/>
                <w:szCs w:val="20"/>
                <w:lang w:val="uk-UA" w:bidi="th-TH"/>
              </w:rPr>
              <w:t>1</w:t>
            </w:r>
          </w:p>
        </w:tc>
        <w:tc>
          <w:tcPr>
            <w:tcW w:w="3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692" w:rsidRDefault="007B6692" w:rsidP="00F421B4">
            <w:pPr>
              <w:pStyle w:val="rvps14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 w:bidi="th-TH"/>
              </w:rPr>
            </w:pPr>
            <w:r>
              <w:rPr>
                <w:sz w:val="20"/>
                <w:szCs w:val="20"/>
                <w:lang w:val="uk-UA" w:bidi="th-TH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 w:bidi="th-TH"/>
              </w:rPr>
            </w:pPr>
            <w:r>
              <w:rPr>
                <w:sz w:val="20"/>
                <w:szCs w:val="20"/>
                <w:lang w:val="en-US" w:bidi="th-TH"/>
              </w:rPr>
              <w:t>-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 w:bidi="th-TH"/>
              </w:rPr>
            </w:pPr>
            <w:r>
              <w:rPr>
                <w:sz w:val="20"/>
                <w:szCs w:val="20"/>
                <w:lang w:val="en-US" w:bidi="th-TH"/>
              </w:rPr>
              <w:t>-</w:t>
            </w:r>
          </w:p>
        </w:tc>
      </w:tr>
      <w:tr w:rsidR="007B6692" w:rsidTr="00F421B4">
        <w:trPr>
          <w:jc w:val="center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692" w:rsidRDefault="007B6692" w:rsidP="00F421B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>
              <w:rPr>
                <w:sz w:val="20"/>
                <w:szCs w:val="20"/>
                <w:lang w:val="uk-UA" w:bidi="th-TH"/>
              </w:rPr>
              <w:t>2</w:t>
            </w:r>
          </w:p>
        </w:tc>
        <w:tc>
          <w:tcPr>
            <w:tcW w:w="3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692" w:rsidRDefault="007B6692" w:rsidP="00F421B4">
            <w:pPr>
              <w:pStyle w:val="rvps14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 w:bidi="th-TH"/>
              </w:rPr>
            </w:pPr>
            <w:r>
              <w:rPr>
                <w:sz w:val="20"/>
                <w:szCs w:val="20"/>
                <w:lang w:val="uk-UA" w:bidi="th-TH"/>
              </w:rPr>
              <w:t>Податки та збори (зміна розміру податків/зборів, виникнення необхідності у сплаті податків/зборів), млн. гривень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>
              <w:rPr>
                <w:sz w:val="20"/>
                <w:szCs w:val="20"/>
                <w:lang w:val="uk-UA" w:bidi="th-TH"/>
              </w:rPr>
              <w:t>-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>
              <w:rPr>
                <w:sz w:val="20"/>
                <w:szCs w:val="20"/>
                <w:lang w:val="uk-UA" w:bidi="th-TH"/>
              </w:rPr>
              <w:t>-</w:t>
            </w:r>
          </w:p>
        </w:tc>
      </w:tr>
      <w:tr w:rsidR="007B6692" w:rsidTr="00F421B4">
        <w:trPr>
          <w:jc w:val="center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692" w:rsidRDefault="007B6692" w:rsidP="00F421B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>
              <w:rPr>
                <w:sz w:val="20"/>
                <w:szCs w:val="20"/>
                <w:lang w:val="uk-UA" w:bidi="th-TH"/>
              </w:rPr>
              <w:t>3</w:t>
            </w:r>
          </w:p>
        </w:tc>
        <w:tc>
          <w:tcPr>
            <w:tcW w:w="3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692" w:rsidRDefault="007B6692" w:rsidP="00F421B4">
            <w:pPr>
              <w:pStyle w:val="rvps14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 w:bidi="th-TH"/>
              </w:rPr>
            </w:pPr>
            <w:r>
              <w:rPr>
                <w:sz w:val="20"/>
                <w:szCs w:val="20"/>
                <w:lang w:val="uk-UA" w:bidi="th-TH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 w:bidi="th-TH"/>
              </w:rPr>
            </w:pPr>
            <w:r>
              <w:rPr>
                <w:sz w:val="20"/>
                <w:szCs w:val="20"/>
                <w:lang w:val="en-US" w:bidi="th-TH"/>
              </w:rPr>
              <w:t>-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 w:bidi="th-TH"/>
              </w:rPr>
            </w:pPr>
            <w:r>
              <w:rPr>
                <w:sz w:val="20"/>
                <w:szCs w:val="20"/>
                <w:lang w:val="en-US" w:bidi="th-TH"/>
              </w:rPr>
              <w:t>-</w:t>
            </w:r>
          </w:p>
        </w:tc>
      </w:tr>
      <w:tr w:rsidR="007B6692" w:rsidTr="00F421B4">
        <w:trPr>
          <w:jc w:val="center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692" w:rsidRDefault="007B6692" w:rsidP="00F421B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>
              <w:rPr>
                <w:sz w:val="20"/>
                <w:szCs w:val="20"/>
                <w:lang w:val="uk-UA" w:bidi="th-TH"/>
              </w:rPr>
              <w:t>4</w:t>
            </w:r>
          </w:p>
        </w:tc>
        <w:tc>
          <w:tcPr>
            <w:tcW w:w="3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692" w:rsidRDefault="007B6692" w:rsidP="00F421B4">
            <w:pPr>
              <w:pStyle w:val="rvps14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 w:bidi="th-TH"/>
              </w:rPr>
            </w:pPr>
            <w:r>
              <w:rPr>
                <w:sz w:val="20"/>
                <w:szCs w:val="20"/>
                <w:lang w:val="uk-UA" w:bidi="th-TH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 w:bidi="th-TH"/>
              </w:rPr>
            </w:pPr>
            <w:r>
              <w:rPr>
                <w:sz w:val="20"/>
                <w:szCs w:val="20"/>
                <w:lang w:val="en-US" w:bidi="th-TH"/>
              </w:rPr>
              <w:t>-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 w:bidi="th-TH"/>
              </w:rPr>
            </w:pPr>
            <w:r>
              <w:rPr>
                <w:sz w:val="20"/>
                <w:szCs w:val="20"/>
                <w:lang w:val="en-US" w:bidi="th-TH"/>
              </w:rPr>
              <w:t>-</w:t>
            </w:r>
          </w:p>
        </w:tc>
      </w:tr>
      <w:tr w:rsidR="007B6692" w:rsidTr="00F421B4">
        <w:trPr>
          <w:trHeight w:val="1570"/>
          <w:jc w:val="center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692" w:rsidRDefault="007B6692" w:rsidP="00F421B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>
              <w:rPr>
                <w:sz w:val="20"/>
                <w:szCs w:val="20"/>
                <w:lang w:val="uk-UA" w:bidi="th-TH"/>
              </w:rPr>
              <w:t>5</w:t>
            </w:r>
          </w:p>
        </w:tc>
        <w:tc>
          <w:tcPr>
            <w:tcW w:w="3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692" w:rsidRDefault="007B6692" w:rsidP="00F421B4">
            <w:pPr>
              <w:pStyle w:val="rvps14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 w:bidi="th-TH"/>
              </w:rPr>
            </w:pPr>
            <w:r>
              <w:rPr>
                <w:sz w:val="20"/>
                <w:szCs w:val="20"/>
                <w:lang w:val="uk-UA" w:bidi="th-TH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692" w:rsidRPr="004061F8" w:rsidRDefault="007B6692" w:rsidP="00F421B4">
            <w:pPr>
              <w:spacing w:after="0" w:line="240" w:lineRule="auto"/>
              <w:jc w:val="center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-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692" w:rsidRPr="00A4414C" w:rsidRDefault="007B6692" w:rsidP="00F421B4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>
              <w:rPr>
                <w:sz w:val="20"/>
                <w:szCs w:val="20"/>
                <w:lang w:val="uk-UA" w:bidi="th-TH"/>
              </w:rPr>
              <w:t>-</w:t>
            </w:r>
          </w:p>
        </w:tc>
      </w:tr>
      <w:tr w:rsidR="007B6692" w:rsidTr="00F421B4">
        <w:trPr>
          <w:jc w:val="center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692" w:rsidRDefault="007B6692" w:rsidP="00F421B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>
              <w:rPr>
                <w:sz w:val="20"/>
                <w:szCs w:val="20"/>
                <w:lang w:val="uk-UA" w:bidi="th-TH"/>
              </w:rPr>
              <w:t>6</w:t>
            </w:r>
          </w:p>
        </w:tc>
        <w:tc>
          <w:tcPr>
            <w:tcW w:w="3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692" w:rsidRDefault="007B6692" w:rsidP="00F421B4">
            <w:pPr>
              <w:pStyle w:val="rvps14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 w:bidi="th-TH"/>
              </w:rPr>
            </w:pPr>
            <w:r>
              <w:rPr>
                <w:sz w:val="20"/>
                <w:szCs w:val="20"/>
                <w:lang w:val="uk-UA" w:bidi="th-TH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 w:bidi="th-TH"/>
              </w:rPr>
            </w:pPr>
            <w:r>
              <w:rPr>
                <w:sz w:val="20"/>
                <w:szCs w:val="20"/>
                <w:lang w:val="en-US" w:bidi="th-TH"/>
              </w:rPr>
              <w:t>-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 w:bidi="th-TH"/>
              </w:rPr>
            </w:pPr>
            <w:r>
              <w:rPr>
                <w:sz w:val="20"/>
                <w:szCs w:val="20"/>
                <w:lang w:val="en-US" w:bidi="th-TH"/>
              </w:rPr>
              <w:t>-</w:t>
            </w:r>
          </w:p>
        </w:tc>
      </w:tr>
      <w:tr w:rsidR="007B6692" w:rsidTr="00F421B4">
        <w:trPr>
          <w:jc w:val="center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692" w:rsidRDefault="007B6692" w:rsidP="00F421B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>
              <w:rPr>
                <w:sz w:val="20"/>
                <w:szCs w:val="20"/>
                <w:lang w:val="uk-UA" w:bidi="th-TH"/>
              </w:rPr>
              <w:t>7</w:t>
            </w:r>
          </w:p>
        </w:tc>
        <w:tc>
          <w:tcPr>
            <w:tcW w:w="3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692" w:rsidRDefault="007B6692" w:rsidP="00F421B4">
            <w:pPr>
              <w:pStyle w:val="rvps14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 w:bidi="th-TH"/>
              </w:rPr>
            </w:pPr>
            <w:r>
              <w:rPr>
                <w:sz w:val="20"/>
                <w:szCs w:val="20"/>
                <w:lang w:val="uk-UA" w:bidi="th-TH"/>
              </w:rPr>
              <w:t xml:space="preserve">Витрати, пов’язані із </w:t>
            </w:r>
            <w:proofErr w:type="spellStart"/>
            <w:r>
              <w:rPr>
                <w:sz w:val="20"/>
                <w:szCs w:val="20"/>
                <w:lang w:val="uk-UA" w:bidi="th-TH"/>
              </w:rPr>
              <w:t>наймом</w:t>
            </w:r>
            <w:proofErr w:type="spellEnd"/>
            <w:r>
              <w:rPr>
                <w:sz w:val="20"/>
                <w:szCs w:val="20"/>
                <w:lang w:val="uk-UA" w:bidi="th-TH"/>
              </w:rPr>
              <w:t xml:space="preserve"> додаткового персоналу, гривень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 w:bidi="th-TH"/>
              </w:rPr>
            </w:pPr>
            <w:r>
              <w:rPr>
                <w:sz w:val="20"/>
                <w:szCs w:val="20"/>
                <w:lang w:val="en-US" w:bidi="th-TH"/>
              </w:rPr>
              <w:t>-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 w:bidi="th-TH"/>
              </w:rPr>
            </w:pPr>
            <w:r>
              <w:rPr>
                <w:sz w:val="20"/>
                <w:szCs w:val="20"/>
                <w:lang w:val="en-US" w:bidi="th-TH"/>
              </w:rPr>
              <w:t>-</w:t>
            </w:r>
          </w:p>
        </w:tc>
      </w:tr>
      <w:tr w:rsidR="007B6692" w:rsidTr="00F421B4">
        <w:trPr>
          <w:jc w:val="center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692" w:rsidRDefault="007B6692" w:rsidP="00F421B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>
              <w:rPr>
                <w:sz w:val="20"/>
                <w:szCs w:val="20"/>
                <w:lang w:val="uk-UA" w:bidi="th-TH"/>
              </w:rPr>
              <w:t>8</w:t>
            </w:r>
          </w:p>
        </w:tc>
        <w:tc>
          <w:tcPr>
            <w:tcW w:w="3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692" w:rsidRDefault="007B6692" w:rsidP="00F421B4">
            <w:pPr>
              <w:pStyle w:val="rvps14"/>
              <w:spacing w:before="0" w:beforeAutospacing="0" w:after="0" w:afterAutospacing="0"/>
              <w:textAlignment w:val="baseline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val="uk-UA" w:bidi="th-TH"/>
              </w:rPr>
              <w:t>Інше (уточнити), гривень</w:t>
            </w:r>
          </w:p>
          <w:p w:rsidR="007B6692" w:rsidRDefault="007B6692" w:rsidP="00F421B4">
            <w:pPr>
              <w:pStyle w:val="rvps14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 w:bidi="th-TH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692" w:rsidRDefault="007B6692" w:rsidP="00F421B4">
            <w:pPr>
              <w:spacing w:after="0" w:line="240" w:lineRule="auto"/>
              <w:jc w:val="center"/>
              <w:rPr>
                <w:sz w:val="20"/>
                <w:szCs w:val="20"/>
                <w:lang w:val="en-US" w:bidi="th-TH"/>
              </w:rPr>
            </w:pPr>
            <w:r w:rsidRPr="00A441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Витрати на виготовлення технічної документації або проекту із землеустрою (у разі необхідності)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692" w:rsidRPr="00A4414C" w:rsidRDefault="007B6692" w:rsidP="00F4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1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Обов’язкові платежі за землю податкового характеру (земельний</w:t>
            </w:r>
          </w:p>
          <w:p w:rsidR="007B6692" w:rsidRPr="00A4414C" w:rsidRDefault="007B6692" w:rsidP="00F421B4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A4414C">
              <w:rPr>
                <w:bCs/>
                <w:sz w:val="18"/>
                <w:szCs w:val="18"/>
                <w:lang w:val="uk-UA"/>
              </w:rPr>
              <w:t xml:space="preserve">податок або орендна плата за землю) </w:t>
            </w:r>
          </w:p>
        </w:tc>
      </w:tr>
      <w:tr w:rsidR="007B6692" w:rsidTr="00F421B4">
        <w:trPr>
          <w:jc w:val="center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692" w:rsidRDefault="007B6692" w:rsidP="00F421B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>
              <w:rPr>
                <w:sz w:val="20"/>
                <w:szCs w:val="20"/>
                <w:lang w:val="uk-UA" w:bidi="th-TH"/>
              </w:rPr>
              <w:t>9</w:t>
            </w:r>
          </w:p>
        </w:tc>
        <w:tc>
          <w:tcPr>
            <w:tcW w:w="3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692" w:rsidRDefault="007B6692" w:rsidP="00F421B4">
            <w:pPr>
              <w:pStyle w:val="rvps14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 w:bidi="th-TH"/>
              </w:rPr>
            </w:pPr>
            <w:r>
              <w:rPr>
                <w:sz w:val="20"/>
                <w:szCs w:val="20"/>
                <w:lang w:val="uk-UA" w:bidi="th-TH"/>
              </w:rPr>
              <w:t>РАЗОМ (сума рядків: 1 + 2 + 3 + 4 + 5 + 6 + 7 + 8), млн. гривень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 w:bidi="th-TH"/>
              </w:rPr>
            </w:pPr>
            <w:r>
              <w:rPr>
                <w:sz w:val="20"/>
                <w:szCs w:val="20"/>
                <w:lang w:val="en-US" w:bidi="th-TH"/>
              </w:rPr>
              <w:t>-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 w:bidi="th-TH"/>
              </w:rPr>
            </w:pPr>
            <w:r>
              <w:rPr>
                <w:sz w:val="20"/>
                <w:szCs w:val="20"/>
                <w:lang w:val="en-US" w:bidi="th-TH"/>
              </w:rPr>
              <w:t>-</w:t>
            </w:r>
          </w:p>
        </w:tc>
      </w:tr>
      <w:tr w:rsidR="007B6692" w:rsidTr="00F421B4">
        <w:trPr>
          <w:trHeight w:val="250"/>
          <w:jc w:val="center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692" w:rsidRDefault="007B6692" w:rsidP="00F421B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>
              <w:rPr>
                <w:sz w:val="20"/>
                <w:szCs w:val="20"/>
                <w:lang w:val="uk-UA" w:bidi="th-TH"/>
              </w:rPr>
              <w:t>10</w:t>
            </w:r>
          </w:p>
        </w:tc>
        <w:tc>
          <w:tcPr>
            <w:tcW w:w="3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692" w:rsidRDefault="007B6692" w:rsidP="00F421B4">
            <w:pPr>
              <w:pStyle w:val="rvps14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 w:bidi="th-TH"/>
              </w:rPr>
            </w:pPr>
            <w:r>
              <w:rPr>
                <w:sz w:val="20"/>
                <w:szCs w:val="20"/>
                <w:lang w:val="uk-UA" w:bidi="th-TH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>
              <w:rPr>
                <w:sz w:val="20"/>
                <w:szCs w:val="20"/>
                <w:lang w:val="uk-UA" w:bidi="th-TH"/>
              </w:rPr>
              <w:t>В разі виявлення порушників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>
              <w:rPr>
                <w:sz w:val="20"/>
                <w:szCs w:val="20"/>
                <w:lang w:val="uk-UA" w:bidi="th-TH"/>
              </w:rPr>
              <w:t>-</w:t>
            </w:r>
          </w:p>
        </w:tc>
      </w:tr>
      <w:tr w:rsidR="007B6692" w:rsidTr="00F421B4">
        <w:trPr>
          <w:jc w:val="center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692" w:rsidRDefault="007B6692" w:rsidP="00F421B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>
              <w:rPr>
                <w:sz w:val="20"/>
                <w:szCs w:val="20"/>
                <w:lang w:val="uk-UA" w:bidi="th-TH"/>
              </w:rPr>
              <w:t>11</w:t>
            </w:r>
          </w:p>
        </w:tc>
        <w:tc>
          <w:tcPr>
            <w:tcW w:w="3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692" w:rsidRDefault="007B6692" w:rsidP="00F421B4">
            <w:pPr>
              <w:pStyle w:val="rvps14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 w:bidi="th-TH"/>
              </w:rPr>
            </w:pPr>
            <w:r>
              <w:rPr>
                <w:sz w:val="20"/>
                <w:szCs w:val="20"/>
                <w:lang w:val="uk-UA" w:bidi="th-TH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млн. гривень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 w:bidi="th-TH"/>
              </w:rPr>
            </w:pPr>
            <w:r>
              <w:rPr>
                <w:sz w:val="20"/>
                <w:szCs w:val="20"/>
                <w:lang w:val="en-US" w:bidi="th-TH"/>
              </w:rPr>
              <w:t>-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 w:bidi="th-TH"/>
              </w:rPr>
            </w:pPr>
            <w:r>
              <w:rPr>
                <w:sz w:val="20"/>
                <w:szCs w:val="20"/>
                <w:lang w:val="en-US" w:bidi="th-TH"/>
              </w:rPr>
              <w:t>-</w:t>
            </w:r>
          </w:p>
        </w:tc>
      </w:tr>
    </w:tbl>
    <w:p w:rsidR="007B6692" w:rsidRDefault="007B6692" w:rsidP="007B6692">
      <w:pPr>
        <w:spacing w:after="0"/>
        <w:jc w:val="center"/>
        <w:rPr>
          <w:i/>
          <w:sz w:val="28"/>
          <w:szCs w:val="28"/>
          <w:lang w:val="ru-RU"/>
        </w:rPr>
      </w:pPr>
    </w:p>
    <w:p w:rsidR="007B6692" w:rsidRPr="00FF6EDC" w:rsidRDefault="007B6692" w:rsidP="007B669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6EDC">
        <w:rPr>
          <w:rFonts w:ascii="Times New Roman" w:hAnsi="Times New Roman" w:cs="Times New Roman"/>
          <w:b/>
          <w:sz w:val="20"/>
          <w:szCs w:val="20"/>
        </w:rPr>
        <w:t>Розрахунок відповідних витрат на одного суб'єкта господарювання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86"/>
        <w:gridCol w:w="1682"/>
        <w:gridCol w:w="1682"/>
        <w:gridCol w:w="1495"/>
      </w:tblGrid>
      <w:tr w:rsidR="007B6692" w:rsidTr="00F421B4">
        <w:tc>
          <w:tcPr>
            <w:tcW w:w="2347" w:type="pct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880" w:type="pct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перший рік</w:t>
            </w:r>
          </w:p>
        </w:tc>
        <w:tc>
          <w:tcPr>
            <w:tcW w:w="880" w:type="pct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Періодичні (за рік)</w:t>
            </w:r>
          </w:p>
        </w:tc>
        <w:tc>
          <w:tcPr>
            <w:tcW w:w="782" w:type="pct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за п'ять років</w:t>
            </w:r>
          </w:p>
        </w:tc>
      </w:tr>
      <w:tr w:rsidR="007B6692" w:rsidTr="00F421B4">
        <w:tc>
          <w:tcPr>
            <w:tcW w:w="2347" w:type="pct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на придбання основних фондів, обладнання та приладів, сервісне обслуговування, навчання / підвищення кваліфікації персоналу тощо</w:t>
            </w:r>
          </w:p>
        </w:tc>
        <w:tc>
          <w:tcPr>
            <w:tcW w:w="880" w:type="pct"/>
            <w:hideMark/>
          </w:tcPr>
          <w:p w:rsidR="007B6692" w:rsidRDefault="007B6692" w:rsidP="00F421B4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 w:bidi="th-TH"/>
              </w:rPr>
            </w:pPr>
            <w:r>
              <w:rPr>
                <w:sz w:val="20"/>
                <w:szCs w:val="20"/>
                <w:lang w:val="en-US" w:bidi="th-TH"/>
              </w:rPr>
              <w:t>-</w:t>
            </w:r>
          </w:p>
        </w:tc>
        <w:tc>
          <w:tcPr>
            <w:tcW w:w="880" w:type="pct"/>
            <w:hideMark/>
          </w:tcPr>
          <w:p w:rsidR="007B6692" w:rsidRDefault="007B6692" w:rsidP="00F421B4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 w:bidi="th-TH"/>
              </w:rPr>
            </w:pPr>
            <w:r>
              <w:rPr>
                <w:sz w:val="20"/>
                <w:szCs w:val="20"/>
                <w:lang w:val="en-US" w:bidi="th-TH"/>
              </w:rPr>
              <w:t>-</w:t>
            </w:r>
          </w:p>
        </w:tc>
        <w:tc>
          <w:tcPr>
            <w:tcW w:w="782" w:type="pct"/>
            <w:hideMark/>
          </w:tcPr>
          <w:p w:rsidR="007B6692" w:rsidRDefault="007B6692" w:rsidP="00F421B4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 w:bidi="th-TH"/>
              </w:rPr>
            </w:pPr>
            <w:r>
              <w:rPr>
                <w:sz w:val="20"/>
                <w:szCs w:val="20"/>
                <w:lang w:val="en-US" w:bidi="th-TH"/>
              </w:rPr>
              <w:t>-</w:t>
            </w:r>
          </w:p>
        </w:tc>
      </w:tr>
    </w:tbl>
    <w:p w:rsidR="007B6692" w:rsidRDefault="007B6692" w:rsidP="007B6692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7B6692" w:rsidRDefault="007B6692" w:rsidP="007B6692">
      <w:pPr>
        <w:pStyle w:val="a3"/>
        <w:spacing w:before="0" w:beforeAutospacing="0" w:after="0" w:afterAutospacing="0"/>
        <w:jc w:val="center"/>
        <w:rPr>
          <w:lang w:val="uk-UA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296"/>
        <w:gridCol w:w="3273"/>
        <w:gridCol w:w="1776"/>
      </w:tblGrid>
      <w:tr w:rsidR="007B6692" w:rsidTr="00F421B4">
        <w:tc>
          <w:tcPr>
            <w:tcW w:w="2258" w:type="pct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1719" w:type="pct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933" w:type="pct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за п'ять років</w:t>
            </w:r>
          </w:p>
        </w:tc>
      </w:tr>
      <w:tr w:rsidR="007B6692" w:rsidTr="00F421B4">
        <w:tc>
          <w:tcPr>
            <w:tcW w:w="2258" w:type="pct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1719" w:type="pct"/>
            <w:hideMark/>
          </w:tcPr>
          <w:p w:rsidR="007B6692" w:rsidRPr="00F30158" w:rsidRDefault="007B6692" w:rsidP="00F421B4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 w:bidi="th-TH"/>
              </w:rPr>
            </w:pPr>
            <w:r>
              <w:rPr>
                <w:sz w:val="20"/>
                <w:szCs w:val="20"/>
                <w:lang w:val="uk-UA" w:bidi="th-TH"/>
              </w:rPr>
              <w:t xml:space="preserve">В разі виявлення порушень буде </w:t>
            </w:r>
            <w:proofErr w:type="spellStart"/>
            <w:r>
              <w:rPr>
                <w:sz w:val="20"/>
                <w:szCs w:val="20"/>
                <w:lang w:val="uk-UA" w:bidi="th-TH"/>
              </w:rPr>
              <w:t>здійснюватись</w:t>
            </w:r>
            <w:proofErr w:type="spellEnd"/>
            <w:r>
              <w:rPr>
                <w:sz w:val="20"/>
                <w:szCs w:val="20"/>
                <w:lang w:val="uk-UA" w:bidi="th-TH"/>
              </w:rPr>
              <w:t xml:space="preserve"> плата передбачена вимогами Податкового кодексу України.</w:t>
            </w:r>
          </w:p>
        </w:tc>
        <w:tc>
          <w:tcPr>
            <w:tcW w:w="933" w:type="pct"/>
            <w:hideMark/>
          </w:tcPr>
          <w:p w:rsidR="007B6692" w:rsidRDefault="007B6692" w:rsidP="00F421B4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 w:bidi="th-TH"/>
              </w:rPr>
            </w:pPr>
            <w:r>
              <w:rPr>
                <w:sz w:val="20"/>
                <w:szCs w:val="20"/>
                <w:lang w:val="en-US" w:bidi="th-TH"/>
              </w:rPr>
              <w:t>-</w:t>
            </w:r>
          </w:p>
        </w:tc>
      </w:tr>
    </w:tbl>
    <w:p w:rsidR="007B6692" w:rsidRDefault="007B6692" w:rsidP="007B6692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7B6692" w:rsidRDefault="007B6692" w:rsidP="007B6692">
      <w:pPr>
        <w:pStyle w:val="a3"/>
        <w:spacing w:before="0" w:beforeAutospacing="0" w:after="0" w:afterAutospacing="0"/>
        <w:jc w:val="center"/>
        <w:rPr>
          <w:lang w:val="uk-UA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96"/>
        <w:gridCol w:w="1682"/>
        <w:gridCol w:w="1776"/>
        <w:gridCol w:w="1589"/>
        <w:gridCol w:w="1402"/>
      </w:tblGrid>
      <w:tr w:rsidR="007B6692" w:rsidTr="00F421B4">
        <w:tc>
          <w:tcPr>
            <w:tcW w:w="1550" w:type="pct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900" w:type="pct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Витрати* на ведення обліку, підготовку та подання звітності (за рік)</w:t>
            </w:r>
          </w:p>
        </w:tc>
        <w:tc>
          <w:tcPr>
            <w:tcW w:w="950" w:type="pct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на оплату штрафних санкцій за рік</w:t>
            </w:r>
          </w:p>
        </w:tc>
        <w:tc>
          <w:tcPr>
            <w:tcW w:w="850" w:type="pct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Разом за рік</w:t>
            </w:r>
          </w:p>
        </w:tc>
        <w:tc>
          <w:tcPr>
            <w:tcW w:w="750" w:type="pct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за п'ять років</w:t>
            </w:r>
          </w:p>
        </w:tc>
      </w:tr>
      <w:tr w:rsidR="007B6692" w:rsidTr="00F421B4">
        <w:tc>
          <w:tcPr>
            <w:tcW w:w="1550" w:type="pct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Витрати, пов'язані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900" w:type="pct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0" w:type="pct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pct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50" w:type="pct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7B6692" w:rsidRDefault="007B6692" w:rsidP="007B6692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* </w:t>
      </w:r>
      <w:r>
        <w:rPr>
          <w:sz w:val="20"/>
          <w:szCs w:val="20"/>
          <w:lang w:val="uk-UA"/>
        </w:rPr>
        <w:t>Вартість витрат, пов'язаних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кваліфікації).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96"/>
        <w:gridCol w:w="1682"/>
        <w:gridCol w:w="1776"/>
        <w:gridCol w:w="1589"/>
        <w:gridCol w:w="1402"/>
      </w:tblGrid>
      <w:tr w:rsidR="007B6692" w:rsidTr="00F421B4">
        <w:tc>
          <w:tcPr>
            <w:tcW w:w="0" w:type="auto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0" w:type="auto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0" w:type="auto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0" w:type="auto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Разом за рік</w:t>
            </w:r>
          </w:p>
        </w:tc>
        <w:tc>
          <w:tcPr>
            <w:tcW w:w="0" w:type="auto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за п'ять років</w:t>
            </w:r>
          </w:p>
        </w:tc>
      </w:tr>
      <w:tr w:rsidR="007B6692" w:rsidTr="00F421B4">
        <w:tc>
          <w:tcPr>
            <w:tcW w:w="1550" w:type="pct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Витрати, пов'язані з адмініструванням заходів державного нагляду (контролю) (перевірок, штрафних санкцій, виконання рішень/приписів тощо)</w:t>
            </w:r>
          </w:p>
        </w:tc>
        <w:tc>
          <w:tcPr>
            <w:tcW w:w="900" w:type="pct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0" w:type="pct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pct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50" w:type="pct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7B6692" w:rsidRDefault="007B6692" w:rsidP="007B6692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* </w:t>
      </w:r>
      <w:r>
        <w:rPr>
          <w:sz w:val="20"/>
          <w:szCs w:val="20"/>
          <w:lang w:val="uk-UA"/>
        </w:rPr>
        <w:t>Вартість витрат, пов'язаних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87"/>
        <w:gridCol w:w="668"/>
        <w:gridCol w:w="1100"/>
        <w:gridCol w:w="768"/>
        <w:gridCol w:w="1091"/>
        <w:gridCol w:w="964"/>
        <w:gridCol w:w="617"/>
        <w:gridCol w:w="1250"/>
      </w:tblGrid>
      <w:tr w:rsidR="007B6692" w:rsidTr="00F421B4">
        <w:tc>
          <w:tcPr>
            <w:tcW w:w="1509" w:type="pct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924" w:type="pct"/>
            <w:gridSpan w:val="2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973" w:type="pct"/>
            <w:gridSpan w:val="2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827" w:type="pct"/>
            <w:gridSpan w:val="2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Разом за рік (стартовий)</w:t>
            </w:r>
          </w:p>
        </w:tc>
        <w:tc>
          <w:tcPr>
            <w:tcW w:w="632" w:type="pct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за п'ять років</w:t>
            </w:r>
          </w:p>
        </w:tc>
      </w:tr>
      <w:tr w:rsidR="007B6692" w:rsidTr="00F421B4">
        <w:tc>
          <w:tcPr>
            <w:tcW w:w="1509" w:type="pct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незалежних/обов'язкових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924" w:type="pct"/>
            <w:gridSpan w:val="2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73" w:type="pct"/>
            <w:gridSpan w:val="2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pct"/>
            <w:gridSpan w:val="2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32" w:type="pct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B6692" w:rsidTr="00F421B4">
        <w:tc>
          <w:tcPr>
            <w:tcW w:w="1858" w:type="pct"/>
            <w:gridSpan w:val="2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977" w:type="pct"/>
            <w:gridSpan w:val="2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 рік (стартовий)</w:t>
            </w:r>
          </w:p>
        </w:tc>
        <w:tc>
          <w:tcPr>
            <w:tcW w:w="1075" w:type="pct"/>
            <w:gridSpan w:val="2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Періодичні (за наступний рік)</w:t>
            </w:r>
          </w:p>
        </w:tc>
        <w:tc>
          <w:tcPr>
            <w:tcW w:w="977" w:type="pct"/>
            <w:gridSpan w:val="2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за п'ять років</w:t>
            </w:r>
          </w:p>
        </w:tc>
      </w:tr>
      <w:tr w:rsidR="007B6692" w:rsidTr="00F421B4">
        <w:tc>
          <w:tcPr>
            <w:tcW w:w="1858" w:type="pct"/>
            <w:gridSpan w:val="2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977" w:type="pct"/>
            <w:gridSpan w:val="2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5" w:type="pct"/>
            <w:gridSpan w:val="2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pct"/>
            <w:gridSpan w:val="2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7B6692" w:rsidRDefault="007B6692" w:rsidP="007B6692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738"/>
        <w:gridCol w:w="3831"/>
        <w:gridCol w:w="1776"/>
      </w:tblGrid>
      <w:tr w:rsidR="007B6692" w:rsidTr="00F421B4">
        <w:tc>
          <w:tcPr>
            <w:tcW w:w="2000" w:type="pct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2050" w:type="pct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950" w:type="pct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за п'ять років</w:t>
            </w:r>
          </w:p>
        </w:tc>
      </w:tr>
      <w:tr w:rsidR="007B6692" w:rsidTr="00F421B4">
        <w:tc>
          <w:tcPr>
            <w:tcW w:w="2000" w:type="pct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Витрати, пов'язані із </w:t>
            </w:r>
            <w:proofErr w:type="spellStart"/>
            <w:r>
              <w:rPr>
                <w:sz w:val="20"/>
                <w:szCs w:val="20"/>
                <w:lang w:val="uk-UA"/>
              </w:rPr>
              <w:t>наймом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додаткового персоналу</w:t>
            </w:r>
          </w:p>
        </w:tc>
        <w:tc>
          <w:tcPr>
            <w:tcW w:w="2050" w:type="pct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0" w:type="pct"/>
            <w:hideMark/>
          </w:tcPr>
          <w:p w:rsidR="007B6692" w:rsidRDefault="007B6692" w:rsidP="00F421B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7B6692" w:rsidRDefault="007B6692" w:rsidP="007B6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B6692" w:rsidRPr="0024074E" w:rsidRDefault="007B6692" w:rsidP="007B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4. </w:t>
      </w:r>
      <w:proofErr w:type="spellStart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Механізми</w:t>
      </w:r>
      <w:proofErr w:type="spellEnd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розв’язання</w:t>
      </w:r>
      <w:proofErr w:type="spellEnd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проблеми</w:t>
      </w:r>
      <w:proofErr w:type="spellEnd"/>
    </w:p>
    <w:p w:rsidR="007B6692" w:rsidRDefault="007B6692" w:rsidP="007B6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розв’язання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зазначеної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розділі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Аналізу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пропонується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прийняти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міською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радою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оложення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самоврядний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контроль за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охороною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</w:t>
      </w:r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Суми</w:t>
      </w:r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7B6692" w:rsidRPr="00217C83" w:rsidRDefault="007B6692" w:rsidP="007B6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217C83">
        <w:rPr>
          <w:rFonts w:ascii="Times New Roman" w:hAnsi="Times New Roman" w:cs="Times New Roman"/>
          <w:sz w:val="28"/>
          <w:szCs w:val="28"/>
        </w:rPr>
        <w:t xml:space="preserve">Запропонований механізм дії даного проекту регуляторного </w:t>
      </w:r>
      <w:proofErr w:type="spellStart"/>
      <w:r w:rsidRPr="00217C83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217C83">
        <w:rPr>
          <w:rFonts w:ascii="Times New Roman" w:hAnsi="Times New Roman" w:cs="Times New Roman"/>
          <w:sz w:val="28"/>
          <w:szCs w:val="28"/>
        </w:rPr>
        <w:t xml:space="preserve"> відповідає принципам державної регуляторної політики, а саме: доцільності, адекватності, ефективності, прозорості та передбачуваності.</w:t>
      </w:r>
    </w:p>
    <w:p w:rsidR="007B6692" w:rsidRDefault="007B6692" w:rsidP="007B6692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7B6692" w:rsidRDefault="007B6692" w:rsidP="007B6692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ТЕСТ</w:t>
      </w:r>
    </w:p>
    <w:p w:rsidR="007B6692" w:rsidRDefault="007B6692" w:rsidP="007B6692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  <w:lang w:val="uk-UA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малого </w:t>
      </w:r>
      <w:proofErr w:type="spellStart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підприємництва</w:t>
      </w:r>
      <w:proofErr w:type="spellEnd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 (М-Тест)</w:t>
      </w:r>
    </w:p>
    <w:p w:rsidR="007B6692" w:rsidRDefault="007B6692" w:rsidP="007B6692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7"/>
          <w:szCs w:val="27"/>
          <w:lang w:val="uk-UA"/>
        </w:rPr>
      </w:pPr>
      <w:r>
        <w:rPr>
          <w:b/>
          <w:color w:val="000000"/>
          <w:sz w:val="27"/>
          <w:szCs w:val="27"/>
          <w:lang w:val="uk-UA"/>
        </w:rPr>
        <w:t>Консультації з представниками мікро- та малого підприємництва щодо оцінки впливу регулювання</w:t>
      </w:r>
    </w:p>
    <w:p w:rsidR="007B6692" w:rsidRDefault="007B6692" w:rsidP="007B669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color w:val="000000"/>
          <w:sz w:val="27"/>
          <w:szCs w:val="27"/>
          <w:lang w:val="uk-UA"/>
        </w:rPr>
      </w:pPr>
    </w:p>
    <w:p w:rsidR="007B6692" w:rsidRDefault="007B6692" w:rsidP="007B669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20 вересня 2016 р. по 31 грудня 2016 р.</w:t>
      </w:r>
    </w:p>
    <w:p w:rsidR="007B6692" w:rsidRDefault="007B6692" w:rsidP="007B669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color w:val="000000"/>
          <w:sz w:val="27"/>
          <w:szCs w:val="27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3720"/>
        <w:gridCol w:w="1812"/>
        <w:gridCol w:w="2192"/>
      </w:tblGrid>
      <w:tr w:rsidR="007B6692" w:rsidTr="00F421B4">
        <w:trPr>
          <w:jc w:val="center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Порядковий номер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Кількість учасників консультацій, осіб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Основні результати консультацій (опис)</w:t>
            </w:r>
          </w:p>
        </w:tc>
      </w:tr>
      <w:tr w:rsidR="007B6692" w:rsidTr="00F421B4">
        <w:trPr>
          <w:jc w:val="center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Розробником проведено консультації з представниками малого підприємництва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Отримано інформацію щодо витрат суб’єкта господарювання на виконання вимог регулювання</w:t>
            </w:r>
          </w:p>
        </w:tc>
      </w:tr>
      <w:tr w:rsidR="007B6692" w:rsidTr="00F421B4">
        <w:trPr>
          <w:jc w:val="center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Телефонні розмови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Отримано інформацію щодо витрат суб’єкта господарювання на виконання вимог регулювання</w:t>
            </w:r>
          </w:p>
        </w:tc>
      </w:tr>
    </w:tbl>
    <w:p w:rsidR="007B6692" w:rsidRDefault="007B6692" w:rsidP="007B669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color w:val="000000"/>
          <w:sz w:val="27"/>
          <w:szCs w:val="27"/>
          <w:lang w:val="uk-UA"/>
        </w:rPr>
      </w:pPr>
    </w:p>
    <w:p w:rsidR="007B6692" w:rsidRDefault="007B6692" w:rsidP="007B669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Вимірювання впливу регулювання на суб’єктів малого підприємництва (мікро- та малі): </w:t>
      </w:r>
    </w:p>
    <w:p w:rsidR="007B6692" w:rsidRDefault="007B6692" w:rsidP="007B669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B7648">
        <w:rPr>
          <w:b/>
          <w:color w:val="000000"/>
          <w:sz w:val="28"/>
          <w:szCs w:val="28"/>
          <w:lang w:val="uk-UA"/>
        </w:rPr>
        <w:lastRenderedPageBreak/>
        <w:t>-</w:t>
      </w:r>
      <w:r>
        <w:rPr>
          <w:color w:val="000000"/>
          <w:sz w:val="28"/>
          <w:szCs w:val="28"/>
          <w:lang w:val="uk-UA"/>
        </w:rPr>
        <w:t xml:space="preserve"> кількість суб’єктів малого підприємництва, на яких поширюється регулювання: всі, хто використовують земельні ділянки територіальної громади м. Суми без належного оформлення документів на право користування або власності на землю;</w:t>
      </w:r>
    </w:p>
    <w:p w:rsidR="007B6692" w:rsidRDefault="007B6692" w:rsidP="007B669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питома вага суб’єктів малого підприємництва у загальній кількості суб’єктів господарювання, на яких проблема справляє вплив 100 (відсотків) (відповідно до таблиці «Оцінка впливу на сферу інтересів суб’єктів господарювання» додатка 1 до Методики проведення аналізу впливу регуляторного </w:t>
      </w:r>
      <w:proofErr w:type="spellStart"/>
      <w:r>
        <w:rPr>
          <w:color w:val="000000"/>
          <w:sz w:val="28"/>
          <w:szCs w:val="28"/>
          <w:lang w:val="uk-UA"/>
        </w:rPr>
        <w:t>акта</w:t>
      </w:r>
      <w:proofErr w:type="spellEnd"/>
      <w:r>
        <w:rPr>
          <w:color w:val="000000"/>
          <w:sz w:val="28"/>
          <w:szCs w:val="28"/>
          <w:lang w:val="uk-UA"/>
        </w:rPr>
        <w:t>).</w:t>
      </w:r>
    </w:p>
    <w:p w:rsidR="007B6692" w:rsidRDefault="007B6692" w:rsidP="007B669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даний час невідома, та буде встановлена після запровадження заходів, передбачених даним регуляторним актом у процесі виявлення порушень з боку суб’єктів господарювання.</w:t>
      </w:r>
    </w:p>
    <w:p w:rsidR="007B6692" w:rsidRDefault="007B6692" w:rsidP="007B669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7B6692" w:rsidRDefault="007B6692" w:rsidP="007B669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Розрахунок витрат суб’єктів малого підприємництва на виконання вимог регулювання</w:t>
      </w:r>
    </w:p>
    <w:p w:rsidR="007B6692" w:rsidRDefault="007B6692" w:rsidP="007B669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3750"/>
        <w:gridCol w:w="1601"/>
        <w:gridCol w:w="1227"/>
        <w:gridCol w:w="1504"/>
      </w:tblGrid>
      <w:tr w:rsidR="007B6692" w:rsidTr="00F421B4">
        <w:trPr>
          <w:trHeight w:val="1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Порядковий номер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Найменування оцінки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Періодичні (за наступний рік)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Витрати за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п’ять років</w:t>
            </w:r>
          </w:p>
        </w:tc>
      </w:tr>
      <w:tr w:rsidR="007B6692" w:rsidTr="00F421B4">
        <w:trPr>
          <w:trHeight w:val="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Оцінка “прямих” витрат суб’єктів малого підприємництва на виконання регулювання</w:t>
            </w:r>
          </w:p>
        </w:tc>
      </w:tr>
      <w:tr w:rsidR="007B6692" w:rsidTr="00F421B4">
        <w:trPr>
          <w:trHeight w:val="1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7B6692" w:rsidTr="00F421B4">
        <w:trPr>
          <w:trHeight w:val="1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92" w:rsidRDefault="007B6692" w:rsidP="00F421B4">
            <w:pPr>
              <w:jc w:val="center"/>
              <w:rPr>
                <w:sz w:val="24"/>
                <w:szCs w:val="24"/>
              </w:rPr>
            </w:pPr>
          </w:p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92" w:rsidRDefault="007B6692" w:rsidP="00F421B4">
            <w:pPr>
              <w:jc w:val="center"/>
              <w:rPr>
                <w:sz w:val="24"/>
                <w:szCs w:val="24"/>
              </w:rPr>
            </w:pPr>
          </w:p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92" w:rsidRDefault="007B6692" w:rsidP="00F421B4">
            <w:pPr>
              <w:jc w:val="center"/>
              <w:rPr>
                <w:sz w:val="24"/>
                <w:szCs w:val="24"/>
              </w:rPr>
            </w:pPr>
          </w:p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B6692" w:rsidTr="00F421B4">
        <w:trPr>
          <w:trHeight w:val="1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7B6692" w:rsidTr="00F421B4">
        <w:trPr>
          <w:trHeight w:val="1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textAlignment w:val="baseline"/>
              <w:rPr>
                <w:sz w:val="2"/>
                <w:lang w:val="uk-UA"/>
              </w:rPr>
            </w:pPr>
          </w:p>
          <w:p w:rsidR="007B6692" w:rsidRDefault="007B6692" w:rsidP="00F42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textAlignment w:val="baseline"/>
              <w:rPr>
                <w:sz w:val="2"/>
                <w:lang w:val="uk-UA"/>
              </w:rPr>
            </w:pPr>
          </w:p>
          <w:p w:rsidR="007B6692" w:rsidRDefault="007B6692" w:rsidP="00F421B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textAlignment w:val="baseline"/>
              <w:rPr>
                <w:sz w:val="2"/>
                <w:lang w:val="uk-UA"/>
              </w:rPr>
            </w:pPr>
          </w:p>
          <w:p w:rsidR="007B6692" w:rsidRDefault="007B6692" w:rsidP="00F421B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7B6692" w:rsidTr="00F421B4">
        <w:trPr>
          <w:trHeight w:val="708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 w:line="15" w:lineRule="atLeast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Інші процедури (розроблення документації із землеустрою).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Pr="00A4414C" w:rsidRDefault="007B6692" w:rsidP="00F42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1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Витрати на виготовлення технічної документації або проекту із землеустрою (у разі необхідності)</w:t>
            </w:r>
          </w:p>
          <w:p w:rsidR="007B6692" w:rsidRDefault="007B6692" w:rsidP="00F42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A441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Pr="001005B8" w:rsidRDefault="007B6692" w:rsidP="00F42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6692" w:rsidTr="00F421B4">
        <w:trPr>
          <w:trHeight w:val="1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0" w:beforeAutospacing="0" w:after="167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Разом, гривень</w:t>
            </w:r>
          </w:p>
          <w:p w:rsidR="007B6692" w:rsidRDefault="007B6692" w:rsidP="00F421B4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rStyle w:val="rvts11"/>
                <w:i/>
                <w:iCs/>
                <w:color w:val="000000"/>
                <w:bdr w:val="none" w:sz="0" w:space="0" w:color="auto" w:frame="1"/>
                <w:lang w:val="uk-UA"/>
              </w:rPr>
              <w:lastRenderedPageBreak/>
              <w:t>Формула:</w:t>
            </w:r>
          </w:p>
          <w:p w:rsidR="007B6692" w:rsidRDefault="007B6692" w:rsidP="00F421B4">
            <w:pPr>
              <w:pStyle w:val="rvps14"/>
              <w:spacing w:before="0" w:beforeAutospacing="0" w:after="0" w:afterAutospacing="0" w:line="15" w:lineRule="atLeast"/>
              <w:textAlignment w:val="baseline"/>
              <w:rPr>
                <w:lang w:val="uk-UA"/>
              </w:rPr>
            </w:pPr>
            <w:r>
              <w:rPr>
                <w:rStyle w:val="rvts11"/>
                <w:i/>
                <w:iCs/>
                <w:color w:val="000000"/>
                <w:bdr w:val="none" w:sz="0" w:space="0" w:color="auto" w:frame="1"/>
                <w:lang w:val="uk-UA"/>
              </w:rPr>
              <w:t>(сума рядків 1 + 2 + 3 + 4 + 5)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lastRenderedPageBreak/>
              <w:t>5000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B6692" w:rsidTr="00F421B4">
        <w:trPr>
          <w:trHeight w:val="1179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0" w:beforeAutospacing="0" w:after="0" w:afterAutospacing="0" w:line="15" w:lineRule="atLeast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sz w:val="20"/>
                <w:szCs w:val="20"/>
                <w:lang w:val="uk-UA" w:bidi="th-TH"/>
              </w:rPr>
              <w:t>В разі виявлення порушників</w:t>
            </w:r>
          </w:p>
        </w:tc>
      </w:tr>
      <w:tr w:rsidR="007B6692" w:rsidTr="00F421B4">
        <w:trPr>
          <w:trHeight w:val="1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0" w:beforeAutospacing="0" w:after="0" w:afterAutospacing="0" w:line="15" w:lineRule="atLeast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Сумарно, гривень</w:t>
            </w:r>
          </w:p>
        </w:tc>
        <w:tc>
          <w:tcPr>
            <w:tcW w:w="2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  <w:p w:rsidR="007B6692" w:rsidRDefault="007B6692" w:rsidP="00F421B4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</w:tc>
      </w:tr>
      <w:tr w:rsidR="007B6692" w:rsidTr="00F421B4">
        <w:trPr>
          <w:trHeight w:val="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2"/>
              <w:spacing w:before="0" w:beforeAutospacing="0" w:after="167" w:afterAutospacing="0" w:line="15" w:lineRule="atLeast"/>
              <w:ind w:firstLine="502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7B6692" w:rsidTr="00F421B4">
        <w:trPr>
          <w:trHeight w:val="1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Процедури отримання первинної інформації про вимоги регулювання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B6692" w:rsidTr="00F421B4">
        <w:trPr>
          <w:trHeight w:val="1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Процедури організації виконання вимог регулювання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B6692" w:rsidTr="00F421B4">
        <w:trPr>
          <w:trHeight w:val="1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Процедури офіційного звітування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92" w:rsidRPr="00071086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sz w:val="18"/>
                <w:szCs w:val="18"/>
                <w:lang w:val="uk-UA"/>
              </w:rPr>
            </w:pPr>
            <w:r w:rsidRPr="00071086">
              <w:rPr>
                <w:sz w:val="18"/>
                <w:szCs w:val="18"/>
                <w:lang w:val="uk-UA"/>
              </w:rPr>
              <w:t>Подання податкової</w:t>
            </w:r>
            <w:r>
              <w:rPr>
                <w:sz w:val="18"/>
                <w:szCs w:val="18"/>
                <w:lang w:val="uk-UA"/>
              </w:rPr>
              <w:t xml:space="preserve"> декларації (земельний податок та орендна плата)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B6692" w:rsidTr="00F421B4">
        <w:trPr>
          <w:trHeight w:val="1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Процедури щодо забезпечення процесу перевірок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B6692" w:rsidTr="00F421B4">
        <w:trPr>
          <w:trHeight w:val="1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 w:line="15" w:lineRule="atLeast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Інші процедури (уточнити)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B6692" w:rsidTr="00F421B4">
        <w:trPr>
          <w:trHeight w:val="1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Разом, гривень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B6692" w:rsidTr="00F421B4">
        <w:trPr>
          <w:trHeight w:val="116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 w:line="15" w:lineRule="atLeast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B6692" w:rsidTr="00F421B4">
        <w:trPr>
          <w:trHeight w:val="1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Сумарно, гривень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7B6692" w:rsidRDefault="007B6692" w:rsidP="007B6692">
      <w:pPr>
        <w:pStyle w:val="rvps3"/>
        <w:shd w:val="clear" w:color="auto" w:fill="FFFFFF"/>
        <w:spacing w:before="0" w:beforeAutospacing="0" w:after="0" w:afterAutospacing="0"/>
        <w:ind w:left="502" w:right="502"/>
        <w:jc w:val="center"/>
        <w:textAlignment w:val="baseline"/>
        <w:rPr>
          <w:b/>
          <w:color w:val="000000"/>
          <w:lang w:val="uk-UA"/>
        </w:rPr>
      </w:pPr>
    </w:p>
    <w:p w:rsidR="007B6692" w:rsidRDefault="007B6692" w:rsidP="007B6692">
      <w:pPr>
        <w:pStyle w:val="rvps3"/>
        <w:shd w:val="clear" w:color="auto" w:fill="FFFFFF"/>
        <w:spacing w:before="0" w:beforeAutospacing="0" w:after="0" w:afterAutospacing="0"/>
        <w:ind w:right="502"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Розрахунок вартості 1 людино-години:</w:t>
      </w:r>
    </w:p>
    <w:p w:rsidR="007B6692" w:rsidRDefault="007B6692" w:rsidP="007B6692">
      <w:pPr>
        <w:pStyle w:val="rvps3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Норма робочого часу на 2016 рік при 40-годинному робочому тижні становить 2003 години (Лист </w:t>
      </w:r>
      <w:proofErr w:type="spellStart"/>
      <w:r>
        <w:rPr>
          <w:color w:val="000000"/>
          <w:sz w:val="28"/>
          <w:szCs w:val="28"/>
          <w:lang w:val="uk-UA"/>
        </w:rPr>
        <w:t>Мінсоцполітики</w:t>
      </w:r>
      <w:proofErr w:type="spellEnd"/>
      <w:r>
        <w:rPr>
          <w:color w:val="000000"/>
          <w:sz w:val="28"/>
          <w:szCs w:val="28"/>
          <w:lang w:val="uk-UA"/>
        </w:rPr>
        <w:t xml:space="preserve"> від 20.07.2015 № 10846/о/14-15/13 «Про розрахунки норми тривалості робочого часу на 2016 рік»).</w:t>
      </w:r>
    </w:p>
    <w:p w:rsidR="007B6692" w:rsidRPr="007B6692" w:rsidRDefault="007B6692" w:rsidP="007B6692">
      <w:pPr>
        <w:pStyle w:val="rvps3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Використовується мінімальний розмір заробітної плати, яка з 01.12.2016 року становить: 1600,00 грн. та 9,59 грн. у погодинному розмірі.</w:t>
      </w:r>
    </w:p>
    <w:p w:rsidR="007B6692" w:rsidRPr="007B6692" w:rsidRDefault="007B6692" w:rsidP="007B6692">
      <w:pPr>
        <w:pStyle w:val="rvps3"/>
        <w:shd w:val="clear" w:color="auto" w:fill="FFFFFF"/>
        <w:spacing w:before="0" w:beforeAutospacing="0" w:after="0" w:afterAutospacing="0"/>
        <w:ind w:left="502" w:right="502"/>
        <w:jc w:val="center"/>
        <w:textAlignment w:val="baseline"/>
        <w:rPr>
          <w:b/>
          <w:color w:val="000000"/>
          <w:sz w:val="28"/>
          <w:szCs w:val="28"/>
        </w:rPr>
      </w:pPr>
    </w:p>
    <w:p w:rsidR="007B6692" w:rsidRPr="00BC135D" w:rsidRDefault="007B6692" w:rsidP="007B6692">
      <w:pPr>
        <w:pStyle w:val="rvps3"/>
        <w:shd w:val="clear" w:color="auto" w:fill="FFFFFF"/>
        <w:spacing w:before="0" w:beforeAutospacing="0" w:after="0" w:afterAutospacing="0"/>
        <w:ind w:right="502"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Бюджетні витрати на адміністрування регулювання суб’єктів малого підприємництва</w:t>
      </w:r>
    </w:p>
    <w:p w:rsidR="007B6692" w:rsidRDefault="007B6692" w:rsidP="007B669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Державний орган, для якого здійснюється розрахунок вартості адміністрування регулювання: Сумська міська рада</w:t>
      </w:r>
    </w:p>
    <w:p w:rsidR="007B6692" w:rsidRPr="00227A93" w:rsidRDefault="007B6692" w:rsidP="007B669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096"/>
        <w:gridCol w:w="1439"/>
        <w:gridCol w:w="1245"/>
        <w:gridCol w:w="2051"/>
        <w:gridCol w:w="1691"/>
      </w:tblGrid>
      <w:tr w:rsidR="007B6692" w:rsidTr="00F421B4"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Процедура регулювання суб’єктів малого підприємництва (розрахунок на одного типового суб’єкта господарювання малого підприємництва - за потреби окремо для суб’єктів малого та мікро-</w:t>
            </w:r>
            <w:proofErr w:type="spellStart"/>
            <w:r>
              <w:rPr>
                <w:lang w:val="uk-UA"/>
              </w:rPr>
              <w:t>підприємництв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Планові витрати часу на процедуру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Оцінка кількості  суб’єктів, що підпадають під дію процедури регулювання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Витрати на адміністрування регулювання* (за рік), гривень</w:t>
            </w:r>
          </w:p>
        </w:tc>
      </w:tr>
      <w:tr w:rsidR="007B6692" w:rsidTr="00F421B4"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1. Облік суб’єкта господарювання, що перебуває у сфері регулювання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B6692" w:rsidTr="00F421B4"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520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4986,8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B6692" w:rsidTr="00F421B4"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камеральні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1918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B6692" w:rsidTr="00F421B4"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виїзні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3068,8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B6692" w:rsidTr="00F421B4"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3. Підготовка, затвердження та опрацювання одного окремого </w:t>
            </w:r>
            <w:proofErr w:type="spellStart"/>
            <w:r>
              <w:rPr>
                <w:lang w:val="uk-UA"/>
              </w:rPr>
              <w:t>акта</w:t>
            </w:r>
            <w:proofErr w:type="spellEnd"/>
            <w:r>
              <w:rPr>
                <w:lang w:val="uk-UA"/>
              </w:rPr>
              <w:t xml:space="preserve"> про порушення вимог регулювання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19,18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B6692" w:rsidTr="00F421B4"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4. Реалізація одного окремого рішення щодо порушення </w:t>
            </w:r>
            <w:r>
              <w:rPr>
                <w:lang w:val="uk-UA"/>
              </w:rPr>
              <w:lastRenderedPageBreak/>
              <w:t>вимог регулювання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B6692" w:rsidTr="00F421B4"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B6692" w:rsidTr="00F421B4"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6. Підготовка звітності за результатами регулювання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B6692" w:rsidTr="00F421B4"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Разом за рік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520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4986,8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B6692" w:rsidTr="00F421B4"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Сумарно за п’ять років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2600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24934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7B6692" w:rsidRDefault="007B6692" w:rsidP="007B669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color w:val="000000"/>
          <w:lang w:val="uk-UA"/>
        </w:rPr>
      </w:pPr>
    </w:p>
    <w:p w:rsidR="007B6692" w:rsidRDefault="007B6692" w:rsidP="007B669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Розрахунок сумарних витрат суб’єктів малого підприємництва, що виникають на виконання вимог регулювання</w:t>
      </w:r>
    </w:p>
    <w:p w:rsidR="007B6692" w:rsidRDefault="007B6692" w:rsidP="007B669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b/>
          <w:color w:val="00000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3413"/>
        <w:gridCol w:w="2315"/>
        <w:gridCol w:w="2183"/>
      </w:tblGrid>
      <w:tr w:rsidR="007B6692" w:rsidTr="00F421B4">
        <w:trPr>
          <w:trHeight w:val="88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Порядковий номер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Перший рік регулювання (стартовий)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За п’ять років</w:t>
            </w:r>
          </w:p>
        </w:tc>
      </w:tr>
      <w:tr w:rsidR="007B6692" w:rsidTr="00F421B4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spacing w:after="0" w:line="240" w:lineRule="auto"/>
            </w:pPr>
            <w:r w:rsidRPr="00124C4F">
              <w:rPr>
                <w:rFonts w:ascii="Times New Roman" w:eastAsia="Times New Roman" w:hAnsi="Times New Roman" w:cs="Times New Roman"/>
                <w:bCs/>
                <w:lang w:eastAsia="ru-RU"/>
              </w:rPr>
              <w:t>Витрати на виготовлення технічної документації або проекту із землеустрою (у разі необхідності)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Pr="004A37B5" w:rsidRDefault="007B6692" w:rsidP="00F421B4">
            <w:pPr>
              <w:spacing w:after="0" w:line="240" w:lineRule="atLeast"/>
            </w:pPr>
            <w:r w:rsidRPr="004A37B5">
              <w:rPr>
                <w:rFonts w:ascii="Times New Roman" w:eastAsia="Times New Roman" w:hAnsi="Times New Roman" w:cs="Times New Roman"/>
                <w:bCs/>
                <w:lang w:eastAsia="ru-RU"/>
              </w:rPr>
              <w:t>Обов’язкові платежі за землю податкового характеру (земельний податок або орендна плата за землю)</w:t>
            </w:r>
          </w:p>
        </w:tc>
      </w:tr>
      <w:tr w:rsidR="007B6692" w:rsidTr="00F421B4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B6692" w:rsidTr="00F421B4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B6692" w:rsidTr="00F421B4">
        <w:trPr>
          <w:trHeight w:val="11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B6692" w:rsidTr="00F421B4">
        <w:trPr>
          <w:trHeight w:val="71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92" w:rsidRDefault="007B6692" w:rsidP="00F421B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7B6692" w:rsidRDefault="007B6692" w:rsidP="007B669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7B6692" w:rsidRDefault="007B6692" w:rsidP="007B669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Розроблення </w:t>
      </w:r>
      <w:proofErr w:type="spellStart"/>
      <w:r>
        <w:rPr>
          <w:b/>
          <w:color w:val="000000"/>
          <w:sz w:val="28"/>
          <w:szCs w:val="28"/>
          <w:lang w:val="uk-UA"/>
        </w:rPr>
        <w:t>корегуючих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(пом’якшувальних) заходів для малого підприємництва щодо запропонованого регулювання</w:t>
      </w:r>
    </w:p>
    <w:p w:rsidR="007B6692" w:rsidRDefault="007B6692" w:rsidP="007B669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уникнення збільшення вартості адміністративного навантаження для суб’єктів господарювання коригуючим (пом’якшувальним) заходом є укладання договорів оренди земельної ділянки не на 5 років, а наприклад, на 10 років. </w:t>
      </w:r>
    </w:p>
    <w:p w:rsidR="007B6692" w:rsidRDefault="007B6692" w:rsidP="007B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B6692" w:rsidRPr="0024074E" w:rsidRDefault="007B6692" w:rsidP="007B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5. </w:t>
      </w:r>
      <w:proofErr w:type="spellStart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Обґрунтування</w:t>
      </w:r>
      <w:proofErr w:type="spellEnd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можливостей</w:t>
      </w:r>
      <w:proofErr w:type="spellEnd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досягнення</w:t>
      </w:r>
      <w:proofErr w:type="spellEnd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визначених</w:t>
      </w:r>
      <w:proofErr w:type="spellEnd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цілей</w:t>
      </w:r>
      <w:proofErr w:type="spellEnd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у </w:t>
      </w:r>
      <w:proofErr w:type="spellStart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разі</w:t>
      </w:r>
      <w:proofErr w:type="spellEnd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прийняття</w:t>
      </w:r>
      <w:proofErr w:type="spellEnd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регуляторного акта</w:t>
      </w:r>
    </w:p>
    <w:p w:rsidR="007B6692" w:rsidRPr="0024074E" w:rsidRDefault="007B6692" w:rsidP="007B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Прийняття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регуляторного акта дозволить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встановити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єдиний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прозорий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порядок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самоврядного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контролю за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охороною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земель у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місті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Суми</w:t>
      </w:r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Запровадження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запропонованого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акта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забезпечить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високу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вірогідність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досягнення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поставлених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цілей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7B6692" w:rsidRDefault="007B6692" w:rsidP="007B6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6692" w:rsidRDefault="007B6692" w:rsidP="007B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Визначення очікуваних результатів прийняття регуляторного акту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D42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(аналіз </w:t>
      </w:r>
      <w:proofErr w:type="spellStart"/>
      <w:r w:rsidRPr="00D42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вигод</w:t>
      </w:r>
      <w:proofErr w:type="spellEnd"/>
      <w:r w:rsidRPr="00D42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витрат)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111"/>
        <w:gridCol w:w="3260"/>
      </w:tblGrid>
      <w:tr w:rsidR="007B6692" w:rsidRPr="00D42142" w:rsidTr="00F421B4">
        <w:tc>
          <w:tcPr>
            <w:tcW w:w="2694" w:type="dxa"/>
            <w:vAlign w:val="center"/>
          </w:tcPr>
          <w:p w:rsidR="007B6692" w:rsidRPr="00D42142" w:rsidRDefault="007B6692" w:rsidP="00F42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1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Сфера</w:t>
            </w:r>
          </w:p>
          <w:p w:rsidR="007B6692" w:rsidRPr="00D42142" w:rsidRDefault="007B6692" w:rsidP="00F42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1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впливу/внутрішня</w:t>
            </w:r>
          </w:p>
          <w:p w:rsidR="007B6692" w:rsidRPr="00D42142" w:rsidRDefault="007B6692" w:rsidP="00F42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1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підгрупа</w:t>
            </w:r>
          </w:p>
        </w:tc>
        <w:tc>
          <w:tcPr>
            <w:tcW w:w="4111" w:type="dxa"/>
            <w:vAlign w:val="center"/>
          </w:tcPr>
          <w:p w:rsidR="007B6692" w:rsidRPr="00D42142" w:rsidRDefault="007B6692" w:rsidP="00F42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1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ВИГОДИ</w:t>
            </w:r>
          </w:p>
        </w:tc>
        <w:tc>
          <w:tcPr>
            <w:tcW w:w="3260" w:type="dxa"/>
            <w:vAlign w:val="center"/>
          </w:tcPr>
          <w:p w:rsidR="007B6692" w:rsidRPr="00D42142" w:rsidRDefault="007B6692" w:rsidP="00F42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1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ВИТРАТИ</w:t>
            </w:r>
          </w:p>
        </w:tc>
      </w:tr>
      <w:tr w:rsidR="007B6692" w:rsidRPr="00D42142" w:rsidTr="00F421B4">
        <w:tc>
          <w:tcPr>
            <w:tcW w:w="2694" w:type="dxa"/>
            <w:vAlign w:val="center"/>
          </w:tcPr>
          <w:p w:rsidR="007B6692" w:rsidRPr="00D42142" w:rsidRDefault="007B6692" w:rsidP="00F42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2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Місцеве самоврядування</w:t>
            </w:r>
          </w:p>
        </w:tc>
        <w:tc>
          <w:tcPr>
            <w:tcW w:w="4111" w:type="dxa"/>
          </w:tcPr>
          <w:p w:rsidR="007B6692" w:rsidRPr="00D42142" w:rsidRDefault="007B6692" w:rsidP="007B6692">
            <w:pPr>
              <w:numPr>
                <w:ilvl w:val="0"/>
                <w:numId w:val="1"/>
              </w:num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2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Економічне  стимулювання ефективного та раціонального використання земельних ділянок.</w:t>
            </w:r>
          </w:p>
          <w:p w:rsidR="007B6692" w:rsidRPr="00D42142" w:rsidRDefault="007B6692" w:rsidP="007B6692">
            <w:pPr>
              <w:numPr>
                <w:ilvl w:val="0"/>
                <w:numId w:val="1"/>
              </w:num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2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Спрямування додаткових коштів на здійснення програм соціально-економічного розвитку, інвентаризації земель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Сумської </w:t>
            </w:r>
            <w:r w:rsidRPr="00D42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міської ради.</w:t>
            </w:r>
          </w:p>
          <w:p w:rsidR="007B6692" w:rsidRPr="00D42142" w:rsidRDefault="007B6692" w:rsidP="007B6692">
            <w:pPr>
              <w:numPr>
                <w:ilvl w:val="0"/>
                <w:numId w:val="1"/>
              </w:num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2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Покращання стану навколишнього середовища</w:t>
            </w:r>
          </w:p>
        </w:tc>
        <w:tc>
          <w:tcPr>
            <w:tcW w:w="3260" w:type="dxa"/>
          </w:tcPr>
          <w:p w:rsidR="007B6692" w:rsidRPr="00D42142" w:rsidRDefault="007B6692" w:rsidP="00F42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2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на публікацію регуляторного акту у ЗМІ </w:t>
            </w:r>
          </w:p>
        </w:tc>
      </w:tr>
      <w:tr w:rsidR="007B6692" w:rsidRPr="00D42142" w:rsidTr="00F421B4">
        <w:tc>
          <w:tcPr>
            <w:tcW w:w="2694" w:type="dxa"/>
            <w:vAlign w:val="center"/>
          </w:tcPr>
          <w:p w:rsidR="007B6692" w:rsidRPr="00D42142" w:rsidRDefault="007B6692" w:rsidP="00F42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2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Суб’єкти господарювання</w:t>
            </w:r>
          </w:p>
        </w:tc>
        <w:tc>
          <w:tcPr>
            <w:tcW w:w="4111" w:type="dxa"/>
          </w:tcPr>
          <w:p w:rsidR="007B6692" w:rsidRPr="00D42142" w:rsidRDefault="007B6692" w:rsidP="00F42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2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Здійснення чіткої взаємодії з органами місцевого самоврядування, вирішення земельних спорів, виявлення вільних від забудови земель, що </w:t>
            </w:r>
            <w:proofErr w:type="spellStart"/>
            <w:r w:rsidRPr="00D42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надасть</w:t>
            </w:r>
            <w:proofErr w:type="spellEnd"/>
            <w:r w:rsidRPr="00D42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можливість їхнього раціонального використання та майбутньої вигоди, покращення стану навколишнього середовища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належне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оформлення земельних правовідносин</w:t>
            </w:r>
          </w:p>
        </w:tc>
        <w:tc>
          <w:tcPr>
            <w:tcW w:w="3260" w:type="dxa"/>
            <w:vAlign w:val="center"/>
          </w:tcPr>
          <w:p w:rsidR="007B6692" w:rsidRPr="00D42142" w:rsidRDefault="007B6692" w:rsidP="00F42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2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- Обов’язкові платежі за землю податкового характеру (земельний </w:t>
            </w:r>
          </w:p>
          <w:p w:rsidR="007B6692" w:rsidRPr="00D42142" w:rsidRDefault="007B6692" w:rsidP="00F42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2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податок або орендна плата за землю). Витрати на виготовлення технічної документації або проекту із землеустрою (у разі необхідності)</w:t>
            </w:r>
          </w:p>
          <w:p w:rsidR="007B6692" w:rsidRPr="00D42142" w:rsidRDefault="007B6692" w:rsidP="00F42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B6692" w:rsidRPr="00D42142" w:rsidTr="00F421B4">
        <w:tc>
          <w:tcPr>
            <w:tcW w:w="2694" w:type="dxa"/>
            <w:vAlign w:val="center"/>
          </w:tcPr>
          <w:p w:rsidR="007B6692" w:rsidRPr="00D42142" w:rsidRDefault="007B6692" w:rsidP="00F42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2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Населення</w:t>
            </w:r>
          </w:p>
        </w:tc>
        <w:tc>
          <w:tcPr>
            <w:tcW w:w="4111" w:type="dxa"/>
            <w:vAlign w:val="center"/>
          </w:tcPr>
          <w:p w:rsidR="007B6692" w:rsidRPr="00D42142" w:rsidRDefault="007B6692" w:rsidP="00F42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2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Здійснення чіткої взаємодії з органами місцевого самоврядування, вирішення земельних спорів, виявлення вільних від забудови земель, що </w:t>
            </w:r>
            <w:proofErr w:type="spellStart"/>
            <w:r w:rsidRPr="00D42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надасть</w:t>
            </w:r>
            <w:proofErr w:type="spellEnd"/>
            <w:r w:rsidRPr="00D42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можливість їхнього раціонального використання та майбутньої вигоди, покращення стану навколишнього середовища</w:t>
            </w:r>
          </w:p>
        </w:tc>
        <w:tc>
          <w:tcPr>
            <w:tcW w:w="3260" w:type="dxa"/>
            <w:vAlign w:val="center"/>
          </w:tcPr>
          <w:p w:rsidR="007B6692" w:rsidRPr="00D42142" w:rsidRDefault="007B6692" w:rsidP="00F42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2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Обов’язкові платежі за землю податкового характеру (земельний </w:t>
            </w:r>
          </w:p>
          <w:p w:rsidR="007B6692" w:rsidRPr="00D42142" w:rsidRDefault="007B6692" w:rsidP="00F42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2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податок або орендна плата за землю). Витрати на виготовлення технічної документації або проекту із землеустрою (у разі необхідності)</w:t>
            </w:r>
          </w:p>
        </w:tc>
      </w:tr>
    </w:tbl>
    <w:p w:rsidR="007B6692" w:rsidRDefault="007B6692" w:rsidP="007B66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B6692" w:rsidRPr="0024074E" w:rsidRDefault="007B6692" w:rsidP="007B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7. Строк </w:t>
      </w:r>
      <w:proofErr w:type="spellStart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дії</w:t>
      </w:r>
      <w:proofErr w:type="spellEnd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акта</w:t>
      </w:r>
    </w:p>
    <w:p w:rsidR="007B6692" w:rsidRDefault="007B6692" w:rsidP="007B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Строк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дії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зазначеного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регуляторного акта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постійний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B6692" w:rsidRDefault="007B6692" w:rsidP="007B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7B5">
        <w:rPr>
          <w:rFonts w:ascii="Times New Roman" w:hAnsi="Times New Roman" w:cs="Times New Roman"/>
          <w:sz w:val="28"/>
          <w:szCs w:val="28"/>
        </w:rPr>
        <w:t>У разі необхідності, зокрема, у зв’язку зі змінами у чинному законодавстві України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37B5">
        <w:rPr>
          <w:rFonts w:ascii="Times New Roman" w:hAnsi="Times New Roman" w:cs="Times New Roman"/>
          <w:sz w:val="28"/>
          <w:szCs w:val="28"/>
        </w:rPr>
        <w:t xml:space="preserve">будуть вноситися зміни до вказаного регуляторного </w:t>
      </w:r>
      <w:proofErr w:type="spellStart"/>
      <w:r w:rsidRPr="004A37B5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A37B5">
        <w:rPr>
          <w:rFonts w:ascii="Times New Roman" w:hAnsi="Times New Roman" w:cs="Times New Roman"/>
          <w:sz w:val="28"/>
          <w:szCs w:val="28"/>
        </w:rPr>
        <w:t>.</w:t>
      </w:r>
    </w:p>
    <w:p w:rsidR="007B6692" w:rsidRPr="00FF6EDC" w:rsidRDefault="007B6692" w:rsidP="007B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692" w:rsidRPr="0024074E" w:rsidRDefault="007B6692" w:rsidP="007B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8. </w:t>
      </w:r>
      <w:proofErr w:type="spellStart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Показники</w:t>
      </w:r>
      <w:proofErr w:type="spellEnd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результативності</w:t>
      </w:r>
      <w:proofErr w:type="spellEnd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регуляторного акта</w:t>
      </w:r>
    </w:p>
    <w:p w:rsidR="007B6692" w:rsidRPr="0024074E" w:rsidRDefault="007B6692" w:rsidP="007B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Показники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результативності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дії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Сумської</w:t>
      </w:r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міської ради:</w:t>
      </w:r>
    </w:p>
    <w:p w:rsidR="007B6692" w:rsidRPr="0024074E" w:rsidRDefault="007B6692" w:rsidP="007B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кількість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самовільно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зайнятих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ділянок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Сумської</w:t>
      </w:r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міської ради;</w:t>
      </w:r>
    </w:p>
    <w:p w:rsidR="007B6692" w:rsidRPr="0024074E" w:rsidRDefault="007B6692" w:rsidP="007B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своєчасність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надходження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міського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бюджету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орендної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плати за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ділянок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шляхом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контролю за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дотриманням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умов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договорів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ділянок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орендарями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B6692" w:rsidRPr="0024074E" w:rsidRDefault="007B6692" w:rsidP="007B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в)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кількість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притягнутих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відповідальності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порушення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земельного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B6692" w:rsidRPr="0024074E" w:rsidRDefault="007B6692" w:rsidP="007B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г)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поінформованості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суб’єктів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господарювання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B6692" w:rsidRPr="0024074E" w:rsidRDefault="007B6692" w:rsidP="007B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відповідності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ч.5 ст.12 Закону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засади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регуляторної політики у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сфері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господарської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діяльності»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11.09.2003р. №1160-IV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інформованості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суб’єктів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господарювання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та/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фізичних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основних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положень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визначається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кількістю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7B6692" w:rsidRDefault="007B6692" w:rsidP="007B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4B76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ознайомляться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зазначеним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рішенням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офіційних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засобах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масової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інформації та в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мережі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Інтернет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офіційній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веб-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сторінці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Сумської </w:t>
      </w:r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(</w:t>
      </w:r>
      <w:hyperlink r:id="rId5" w:history="1">
        <w:r w:rsidRPr="002F4FC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2F4FC9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Pr="002F4FC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smr</w:t>
        </w:r>
        <w:proofErr w:type="spellEnd"/>
        <w:r w:rsidRPr="002F4FC9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Pr="002F4FC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Pr="002F4FC9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Pr="002F4FC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692" w:rsidRDefault="007B6692" w:rsidP="007B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25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4B76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25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отримають</w:t>
      </w:r>
      <w:proofErr w:type="spellEnd"/>
      <w:r w:rsidRPr="002725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25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регуляторний</w:t>
      </w:r>
      <w:proofErr w:type="spellEnd"/>
      <w:r w:rsidRPr="002725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акт за </w:t>
      </w:r>
      <w:proofErr w:type="spellStart"/>
      <w:r w:rsidRPr="002725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запитами</w:t>
      </w:r>
      <w:proofErr w:type="spellEnd"/>
      <w:r w:rsidRPr="002725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2725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органів</w:t>
      </w:r>
      <w:proofErr w:type="spellEnd"/>
      <w:r w:rsidRPr="002725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25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 w:rsidRPr="002725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25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2725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B6692" w:rsidRPr="002725D8" w:rsidRDefault="007B6692" w:rsidP="007B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692" w:rsidRPr="00BC135D" w:rsidRDefault="007B6692" w:rsidP="007B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9. Заходи </w:t>
      </w:r>
      <w:proofErr w:type="spellStart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відстеження</w:t>
      </w:r>
      <w:proofErr w:type="spellEnd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результативності</w:t>
      </w:r>
      <w:proofErr w:type="spellEnd"/>
      <w:r w:rsidRPr="002407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регуляторного акта</w:t>
      </w:r>
    </w:p>
    <w:p w:rsidR="007B6692" w:rsidRPr="00B00E77" w:rsidRDefault="007B6692" w:rsidP="007B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7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 результативності буде здійснюватися на основі аналізу статистичних даних, що включають в себе: виявлення кількості порушень земельного законодавства при використанні зем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територіальної громади 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B0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</w:t>
      </w:r>
      <w:r w:rsidRPr="00B0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яких поширюється дія регуляторного </w:t>
      </w:r>
      <w:proofErr w:type="spellStart"/>
      <w:r w:rsidRPr="00B00E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B00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692" w:rsidRPr="0024074E" w:rsidRDefault="007B6692" w:rsidP="007B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0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Базове відстеження результативності регуляторного </w:t>
      </w:r>
      <w:proofErr w:type="spellStart"/>
      <w:r w:rsidRPr="00B00E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B0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здійснюється через пів року з дня набрання ним чинності.</w:t>
      </w:r>
    </w:p>
    <w:p w:rsidR="007B6692" w:rsidRPr="0024074E" w:rsidRDefault="007B6692" w:rsidP="007B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Повторне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відстеження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результативності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регуляторного акта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здійснюватиметься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через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після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прийняття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формі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звіту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B6692" w:rsidRPr="0024074E" w:rsidRDefault="007B6692" w:rsidP="007B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Періодичні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відстеження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будуть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проводитись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 на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кожні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три роки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після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повторного </w:t>
      </w:r>
      <w:proofErr w:type="spellStart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відстеження</w:t>
      </w:r>
      <w:proofErr w:type="spellEnd"/>
      <w:r w:rsidRPr="002407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B6692" w:rsidRDefault="007B6692" w:rsidP="007B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692" w:rsidRDefault="007B6692" w:rsidP="007B6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B6692" w:rsidRPr="00BC3F0D" w:rsidRDefault="007B6692" w:rsidP="007B6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C3F0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Директор департаменту забезпечення</w:t>
      </w:r>
    </w:p>
    <w:p w:rsidR="007B6692" w:rsidRDefault="007B6692" w:rsidP="007B6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C3F0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ресурсних платежів Сумської міської ради</w:t>
      </w:r>
      <w:r w:rsidRPr="00BC3F0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BC3F0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</w:t>
      </w:r>
      <w:r w:rsidRPr="00BC3F0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Ю. М. Клименко</w:t>
      </w:r>
    </w:p>
    <w:p w:rsidR="005630D7" w:rsidRPr="007B6692" w:rsidRDefault="005630D7">
      <w:pPr>
        <w:rPr>
          <w:lang w:val="ru-RU"/>
        </w:rPr>
      </w:pPr>
    </w:p>
    <w:sectPr w:rsidR="005630D7" w:rsidRPr="007B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81C0A"/>
    <w:multiLevelType w:val="hybridMultilevel"/>
    <w:tmpl w:val="98A8D462"/>
    <w:lvl w:ilvl="0" w:tplc="9F561A76">
      <w:start w:val="6"/>
      <w:numFmt w:val="bullet"/>
      <w:suff w:val="space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92"/>
    <w:rsid w:val="005630D7"/>
    <w:rsid w:val="007B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AE6E"/>
  <w15:chartTrackingRefBased/>
  <w15:docId w15:val="{767CB280-41AD-43F0-83A3-A41F64E2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69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7B6692"/>
    <w:rPr>
      <w:color w:val="0563C1" w:themeColor="hyperlink"/>
      <w:u w:val="single"/>
    </w:rPr>
  </w:style>
  <w:style w:type="paragraph" w:customStyle="1" w:styleId="rvps14">
    <w:name w:val="rvps14"/>
    <w:basedOn w:val="a"/>
    <w:rsid w:val="007B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7B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7B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B6692"/>
  </w:style>
  <w:style w:type="character" w:customStyle="1" w:styleId="rvts15">
    <w:name w:val="rvts15"/>
    <w:basedOn w:val="a0"/>
    <w:rsid w:val="007B6692"/>
  </w:style>
  <w:style w:type="paragraph" w:customStyle="1" w:styleId="rvps3">
    <w:name w:val="rvps3"/>
    <w:basedOn w:val="a"/>
    <w:rsid w:val="007B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7B6692"/>
  </w:style>
  <w:style w:type="table" w:styleId="a5">
    <w:name w:val="Table Grid"/>
    <w:basedOn w:val="a1"/>
    <w:rsid w:val="007B6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3240</Words>
  <Characters>18470</Characters>
  <Application>Microsoft Office Word</Application>
  <DocSecurity>0</DocSecurity>
  <Lines>153</Lines>
  <Paragraphs>43</Paragraphs>
  <ScaleCrop>false</ScaleCrop>
  <Company/>
  <LinksUpToDate>false</LinksUpToDate>
  <CharactersWithSpaces>21667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2017-03-23T12:47:00Z</dcterms:created>
  <dcterms:modified xsi:type="dcterms:W3CDTF">2017-03-23T12:48:00Z</dcterms:modified>
</cp:coreProperties>
</file>