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bookmarkStart w:id="0" w:name="_GoBack"/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E05F78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8519BA">
        <w:rPr>
          <w:b/>
          <w:sz w:val="28"/>
          <w:szCs w:val="28"/>
          <w:lang w:val="uk-UA"/>
        </w:rPr>
        <w:t>26</w:t>
      </w:r>
      <w:r w:rsidR="00421B45">
        <w:rPr>
          <w:b/>
          <w:sz w:val="28"/>
          <w:szCs w:val="28"/>
          <w:lang w:val="uk-UA"/>
        </w:rPr>
        <w:t xml:space="preserve"> </w:t>
      </w:r>
      <w:r w:rsidR="008519BA">
        <w:rPr>
          <w:b/>
          <w:sz w:val="28"/>
          <w:szCs w:val="28"/>
          <w:lang w:val="uk-UA"/>
        </w:rPr>
        <w:t>квітня</w:t>
      </w:r>
      <w:r w:rsidR="00AF2103">
        <w:rPr>
          <w:b/>
          <w:sz w:val="28"/>
          <w:szCs w:val="28"/>
          <w:lang w:val="uk-UA"/>
        </w:rPr>
        <w:t xml:space="preserve"> </w:t>
      </w:r>
      <w:r w:rsidR="00421B45">
        <w:rPr>
          <w:b/>
          <w:sz w:val="28"/>
          <w:szCs w:val="28"/>
          <w:lang w:val="uk-UA"/>
        </w:rPr>
        <w:t>201</w:t>
      </w:r>
      <w:r w:rsidR="008519BA">
        <w:rPr>
          <w:b/>
          <w:sz w:val="28"/>
          <w:szCs w:val="28"/>
          <w:lang w:val="uk-UA"/>
        </w:rPr>
        <w:t>7</w:t>
      </w:r>
      <w:r w:rsidR="00421B45">
        <w:rPr>
          <w:b/>
          <w:sz w:val="28"/>
          <w:szCs w:val="28"/>
          <w:lang w:val="uk-UA"/>
        </w:rPr>
        <w:t xml:space="preserve"> року № </w:t>
      </w:r>
      <w:r w:rsidR="008519BA">
        <w:rPr>
          <w:b/>
          <w:sz w:val="28"/>
          <w:szCs w:val="28"/>
          <w:lang w:val="uk-UA"/>
        </w:rPr>
        <w:t>2041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</w:t>
      </w:r>
      <w:r w:rsidR="008519BA">
        <w:rPr>
          <w:b/>
          <w:sz w:val="28"/>
          <w:szCs w:val="28"/>
          <w:lang w:val="uk-UA"/>
        </w:rPr>
        <w:t xml:space="preserve"> внесення змін до рішення Сумської міської ради від 08 липня 2015 року №4562-МР «Про </w:t>
      </w:r>
      <w:r w:rsidR="00214332">
        <w:rPr>
          <w:b/>
          <w:sz w:val="28"/>
          <w:szCs w:val="28"/>
          <w:lang w:val="uk-UA"/>
        </w:rPr>
        <w:t>встановлення плати за землю на території міста Суми</w:t>
      </w:r>
      <w:r w:rsidR="008519BA">
        <w:rPr>
          <w:b/>
          <w:sz w:val="28"/>
          <w:szCs w:val="28"/>
          <w:lang w:val="uk-UA"/>
        </w:rPr>
        <w:t xml:space="preserve"> (зі змінами)</w:t>
      </w:r>
      <w:r w:rsidR="00214332">
        <w:rPr>
          <w:b/>
          <w:sz w:val="28"/>
          <w:szCs w:val="28"/>
          <w:lang w:val="uk-UA"/>
        </w:rPr>
        <w:t>»</w:t>
      </w:r>
      <w:bookmarkEnd w:id="0"/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8519B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8519BA" w:rsidRPr="008519BA">
        <w:rPr>
          <w:sz w:val="28"/>
          <w:szCs w:val="28"/>
          <w:lang w:val="uk-UA"/>
        </w:rPr>
        <w:t xml:space="preserve">26 квітня 2017 року № 2041-МР «Про внесення змін до рішення Сумської міської ради від 08 липня 2015 року </w:t>
      </w:r>
      <w:r w:rsidR="008519BA">
        <w:rPr>
          <w:sz w:val="28"/>
          <w:szCs w:val="28"/>
          <w:lang w:val="uk-UA"/>
        </w:rPr>
        <w:t xml:space="preserve"> </w:t>
      </w:r>
      <w:r w:rsidR="008519BA" w:rsidRPr="008519BA">
        <w:rPr>
          <w:sz w:val="28"/>
          <w:szCs w:val="28"/>
          <w:lang w:val="uk-UA"/>
        </w:rPr>
        <w:t>№4562-МР «Про встановлення плати за землю на території міста Суми (зі змінами)».</w:t>
      </w:r>
    </w:p>
    <w:p w:rsidR="008519BA" w:rsidRDefault="008519BA" w:rsidP="008519BA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AF2103">
        <w:rPr>
          <w:bCs/>
          <w:color w:val="000000"/>
          <w:sz w:val="28"/>
          <w:szCs w:val="28"/>
          <w:lang w:val="uk-UA"/>
        </w:rPr>
        <w:t>Проект регуляторного акту спрямований на:</w:t>
      </w:r>
    </w:p>
    <w:p w:rsidR="008519BA" w:rsidRDefault="008519BA" w:rsidP="008519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519BA">
        <w:rPr>
          <w:sz w:val="28"/>
          <w:szCs w:val="28"/>
          <w:lang w:val="uk-UA"/>
        </w:rPr>
        <w:t xml:space="preserve">створення  умов  для  збільшення  надходжень плати за землю  до бюджету міста, </w:t>
      </w:r>
    </w:p>
    <w:p w:rsidR="008519BA" w:rsidRDefault="008519BA" w:rsidP="008519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519BA">
        <w:rPr>
          <w:sz w:val="28"/>
          <w:szCs w:val="28"/>
          <w:lang w:val="uk-UA"/>
        </w:rPr>
        <w:t xml:space="preserve">встановлення рівних  прав та обов’язків для всіх суб’єктів  господарювання, які користуються земельними ділянками комунальної власності, </w:t>
      </w:r>
    </w:p>
    <w:p w:rsidR="008519BA" w:rsidRDefault="008519BA" w:rsidP="008519B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519BA">
        <w:rPr>
          <w:sz w:val="28"/>
          <w:szCs w:val="28"/>
          <w:lang w:val="uk-UA"/>
        </w:rPr>
        <w:t>врахування змін до Податкового кодексу України (ПКУ), внесених Законами України від 20.12.2016 № 1791 «Про внесення змін до Податкового кодексу України та деяких законодавчих актів України щодо забезпечення збалансованості бюджетних надходжень у 2017 році» та від 21.12.2016  № 1797 «Про внесення змін до Податкового кодексу України щодо покращення інвестиційного клімату в Україні»,</w:t>
      </w:r>
    </w:p>
    <w:p w:rsidR="00B52494" w:rsidRPr="00AF2103" w:rsidRDefault="008519BA" w:rsidP="00B5249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</w:t>
      </w:r>
      <w:r w:rsidR="00B52494" w:rsidRPr="00AF2103">
        <w:rPr>
          <w:sz w:val="28"/>
          <w:szCs w:val="28"/>
          <w:lang w:val="uk-UA"/>
        </w:rPr>
        <w:t xml:space="preserve">відкритість процедури, прозорість дій органу місцевого самоврядування при  вирішенні питань, пов'язаних зі справлянням </w:t>
      </w:r>
      <w:r w:rsidR="00C674AE">
        <w:rPr>
          <w:sz w:val="28"/>
          <w:szCs w:val="28"/>
          <w:lang w:val="uk-UA"/>
        </w:rPr>
        <w:t>плати за землю</w:t>
      </w:r>
      <w:r w:rsidR="00B52494" w:rsidRPr="00AF2103">
        <w:rPr>
          <w:sz w:val="28"/>
          <w:szCs w:val="28"/>
          <w:lang w:val="uk-UA"/>
        </w:rPr>
        <w:t>;</w:t>
      </w:r>
    </w:p>
    <w:p w:rsidR="00B52494" w:rsidRPr="00F53B62" w:rsidRDefault="00B52494" w:rsidP="00B52494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>- забезпечення умов для утримання об’єктів соціально-культурної сфери та благоустрою міста.</w:t>
      </w:r>
    </w:p>
    <w:p w:rsidR="00764B93" w:rsidRDefault="00764B93" w:rsidP="00764B93">
      <w:pPr>
        <w:ind w:firstLine="709"/>
        <w:jc w:val="both"/>
        <w:rPr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</w:t>
      </w:r>
      <w:r w:rsidR="00AF21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EE4B3A">
        <w:rPr>
          <w:sz w:val="28"/>
          <w:szCs w:val="28"/>
          <w:lang w:val="uk-UA"/>
        </w:rPr>
        <w:t>19</w:t>
      </w:r>
      <w:r w:rsidR="000D4E33">
        <w:rPr>
          <w:sz w:val="28"/>
          <w:szCs w:val="28"/>
          <w:lang w:val="uk-UA"/>
        </w:rPr>
        <w:t>.</w:t>
      </w:r>
      <w:r w:rsidR="00EE4B3A">
        <w:rPr>
          <w:sz w:val="28"/>
          <w:szCs w:val="28"/>
          <w:lang w:val="uk-UA"/>
        </w:rPr>
        <w:t>05</w:t>
      </w:r>
      <w:r w:rsidR="000D4E33">
        <w:rPr>
          <w:sz w:val="28"/>
          <w:szCs w:val="28"/>
          <w:lang w:val="uk-UA"/>
        </w:rPr>
        <w:t>.201</w:t>
      </w:r>
      <w:r w:rsidR="00EE4B3A">
        <w:rPr>
          <w:sz w:val="28"/>
          <w:szCs w:val="28"/>
          <w:lang w:val="uk-UA"/>
        </w:rPr>
        <w:t>8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EE4B3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</w:t>
      </w:r>
      <w:r w:rsidR="00EE4B3A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.201</w:t>
      </w:r>
      <w:r w:rsidR="00EE4B3A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</w:t>
      </w:r>
      <w:r w:rsidR="00E05F78">
        <w:rPr>
          <w:color w:val="000000"/>
          <w:sz w:val="28"/>
          <w:szCs w:val="28"/>
          <w:lang w:val="uk-UA"/>
        </w:rPr>
        <w:t xml:space="preserve">повторне </w:t>
      </w:r>
      <w:r w:rsidR="00AF210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8519BA" w:rsidRDefault="008519BA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lastRenderedPageBreak/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 w:rsidR="007205C2">
        <w:rPr>
          <w:sz w:val="28"/>
          <w:szCs w:val="28"/>
          <w:lang w:val="uk-UA"/>
        </w:rPr>
        <w:t>Повторне</w:t>
      </w:r>
      <w:r>
        <w:rPr>
          <w:sz w:val="28"/>
          <w:szCs w:val="28"/>
          <w:lang w:val="uk-UA"/>
        </w:rPr>
        <w:t xml:space="preserve"> відстеження результативності </w:t>
      </w:r>
      <w:r w:rsidR="008519BA">
        <w:rPr>
          <w:sz w:val="28"/>
          <w:szCs w:val="28"/>
          <w:lang w:val="uk-UA"/>
        </w:rPr>
        <w:t xml:space="preserve">рішення Сумської міської ради  </w:t>
      </w:r>
      <w:r w:rsidR="008519BA" w:rsidRPr="00D53738">
        <w:rPr>
          <w:sz w:val="28"/>
          <w:szCs w:val="28"/>
          <w:lang w:val="uk-UA"/>
        </w:rPr>
        <w:t xml:space="preserve">від </w:t>
      </w:r>
      <w:r w:rsidR="008519BA" w:rsidRPr="008519BA">
        <w:rPr>
          <w:sz w:val="28"/>
          <w:szCs w:val="28"/>
          <w:lang w:val="uk-UA"/>
        </w:rPr>
        <w:t xml:space="preserve">26 квітня 2017 року № 2041-МР «Про внесення змін до рішення Сумської міської ради від 08 липня 2015 року </w:t>
      </w:r>
      <w:r w:rsidR="008519BA">
        <w:rPr>
          <w:sz w:val="28"/>
          <w:szCs w:val="28"/>
          <w:lang w:val="uk-UA"/>
        </w:rPr>
        <w:t xml:space="preserve"> </w:t>
      </w:r>
      <w:r w:rsidR="008519BA" w:rsidRPr="008519BA">
        <w:rPr>
          <w:sz w:val="28"/>
          <w:szCs w:val="28"/>
          <w:lang w:val="uk-UA"/>
        </w:rPr>
        <w:t>№4562-МР «Про встановлення плати за землю на території міста Суми (зі змінами)»</w:t>
      </w:r>
      <w:r w:rsidR="005A2AA0" w:rsidRPr="006423E0">
        <w:rPr>
          <w:sz w:val="28"/>
          <w:szCs w:val="28"/>
          <w:lang w:val="uk-UA"/>
        </w:rPr>
        <w:t xml:space="preserve">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EA4318">
        <w:rPr>
          <w:sz w:val="28"/>
          <w:szCs w:val="28"/>
          <w:lang w:val="uk-UA"/>
        </w:rPr>
        <w:t xml:space="preserve">усних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7205C2">
        <w:rPr>
          <w:sz w:val="28"/>
          <w:szCs w:val="28"/>
          <w:lang w:val="uk-UA"/>
        </w:rPr>
        <w:t>ГУ ДФС у Сумській області</w:t>
      </w:r>
      <w:r w:rsidR="006423E0" w:rsidRPr="006423E0">
        <w:rPr>
          <w:sz w:val="28"/>
          <w:szCs w:val="28"/>
          <w:lang w:val="uk-UA"/>
        </w:rPr>
        <w:t xml:space="preserve">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EE4B3A">
        <w:rPr>
          <w:sz w:val="28"/>
          <w:szCs w:val="28"/>
          <w:lang w:val="uk-UA"/>
        </w:rPr>
        <w:t xml:space="preserve"> за період з 01.01.2017 по 31.12.2017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FE4B85" w:rsidRDefault="00FE4B85" w:rsidP="00764B93">
      <w:pPr>
        <w:ind w:firstLine="709"/>
        <w:jc w:val="both"/>
        <w:rPr>
          <w:sz w:val="28"/>
          <w:szCs w:val="28"/>
          <w:lang w:val="uk-UA"/>
        </w:rPr>
      </w:pP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681"/>
        <w:gridCol w:w="3338"/>
        <w:gridCol w:w="1773"/>
        <w:gridCol w:w="1567"/>
        <w:gridCol w:w="1878"/>
      </w:tblGrid>
      <w:tr w:rsidR="00CE4F61" w:rsidTr="00CE4F61">
        <w:trPr>
          <w:trHeight w:val="564"/>
        </w:trPr>
        <w:tc>
          <w:tcPr>
            <w:tcW w:w="696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33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66" w:type="dxa"/>
            <w:vAlign w:val="center"/>
          </w:tcPr>
          <w:p w:rsidR="00CE4F61" w:rsidRPr="00430BE1" w:rsidRDefault="00CE4F61" w:rsidP="00EF02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201</w:t>
            </w:r>
            <w:r w:rsidR="00EF0214">
              <w:rPr>
                <w:b/>
                <w:sz w:val="28"/>
                <w:szCs w:val="28"/>
                <w:lang w:val="uk-UA"/>
              </w:rPr>
              <w:t>7</w:t>
            </w:r>
            <w:r w:rsidR="007205C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616" w:type="dxa"/>
            <w:vAlign w:val="center"/>
          </w:tcPr>
          <w:p w:rsidR="00CE4F61" w:rsidRPr="00430BE1" w:rsidRDefault="00CE4F61" w:rsidP="00EF021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201</w:t>
            </w:r>
            <w:r w:rsidR="00EF0214">
              <w:rPr>
                <w:b/>
                <w:sz w:val="28"/>
                <w:szCs w:val="28"/>
                <w:lang w:val="uk-UA"/>
              </w:rPr>
              <w:t>6</w:t>
            </w:r>
            <w:r w:rsidR="007205C2">
              <w:rPr>
                <w:b/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561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F30755" w:rsidTr="00CE4F61">
        <w:trPr>
          <w:trHeight w:val="564"/>
        </w:trPr>
        <w:tc>
          <w:tcPr>
            <w:tcW w:w="696" w:type="dxa"/>
            <w:vAlign w:val="center"/>
          </w:tcPr>
          <w:p w:rsidR="00F30755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3" w:type="dxa"/>
            <w:vAlign w:val="center"/>
          </w:tcPr>
          <w:p w:rsidR="00F30755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платників плати за землю</w:t>
            </w:r>
          </w:p>
        </w:tc>
        <w:tc>
          <w:tcPr>
            <w:tcW w:w="1866" w:type="dxa"/>
            <w:vAlign w:val="center"/>
          </w:tcPr>
          <w:p w:rsidR="00F30755" w:rsidRPr="0018592D" w:rsidRDefault="00ED4D8D" w:rsidP="00CE4F61">
            <w:pPr>
              <w:jc w:val="center"/>
              <w:rPr>
                <w:sz w:val="28"/>
                <w:szCs w:val="28"/>
                <w:lang w:val="uk-UA"/>
              </w:rPr>
            </w:pPr>
            <w:r w:rsidRPr="0018592D">
              <w:rPr>
                <w:sz w:val="28"/>
                <w:szCs w:val="28"/>
                <w:lang w:val="uk-UA"/>
              </w:rPr>
              <w:t>1688</w:t>
            </w:r>
          </w:p>
        </w:tc>
        <w:tc>
          <w:tcPr>
            <w:tcW w:w="1616" w:type="dxa"/>
            <w:vAlign w:val="center"/>
          </w:tcPr>
          <w:p w:rsidR="00F30755" w:rsidRPr="0018592D" w:rsidRDefault="00EF0214" w:rsidP="00CE4F61">
            <w:pPr>
              <w:jc w:val="center"/>
              <w:rPr>
                <w:sz w:val="28"/>
                <w:szCs w:val="28"/>
                <w:lang w:val="uk-UA"/>
              </w:rPr>
            </w:pPr>
            <w:r w:rsidRPr="0018592D">
              <w:rPr>
                <w:sz w:val="28"/>
                <w:szCs w:val="28"/>
                <w:lang w:val="uk-UA"/>
              </w:rPr>
              <w:t>1532</w:t>
            </w:r>
          </w:p>
        </w:tc>
        <w:tc>
          <w:tcPr>
            <w:tcW w:w="1561" w:type="dxa"/>
            <w:vAlign w:val="center"/>
          </w:tcPr>
          <w:p w:rsidR="00F30755" w:rsidRPr="0018592D" w:rsidRDefault="00430BE1" w:rsidP="00ED4D8D">
            <w:pPr>
              <w:jc w:val="center"/>
              <w:rPr>
                <w:sz w:val="28"/>
                <w:szCs w:val="28"/>
                <w:lang w:val="uk-UA"/>
              </w:rPr>
            </w:pPr>
            <w:r w:rsidRPr="0018592D">
              <w:rPr>
                <w:sz w:val="28"/>
                <w:szCs w:val="28"/>
                <w:lang w:val="uk-UA"/>
              </w:rPr>
              <w:t xml:space="preserve">+ </w:t>
            </w:r>
            <w:r w:rsidR="00ED4D8D" w:rsidRPr="0018592D">
              <w:rPr>
                <w:sz w:val="28"/>
                <w:szCs w:val="28"/>
                <w:lang w:val="uk-UA"/>
              </w:rPr>
              <w:t>156</w:t>
            </w:r>
          </w:p>
        </w:tc>
      </w:tr>
      <w:tr w:rsidR="00CE4F61" w:rsidTr="00CE4F61">
        <w:tc>
          <w:tcPr>
            <w:tcW w:w="696" w:type="dxa"/>
            <w:vAlign w:val="center"/>
          </w:tcPr>
          <w:p w:rsidR="00CE4F61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3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</w:t>
            </w:r>
          </w:p>
        </w:tc>
        <w:tc>
          <w:tcPr>
            <w:tcW w:w="1866" w:type="dxa"/>
            <w:vAlign w:val="center"/>
          </w:tcPr>
          <w:p w:rsidR="00EF0214" w:rsidRDefault="00CE528E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162 473,1</w:t>
            </w:r>
          </w:p>
          <w:p w:rsidR="00CE4F61" w:rsidRPr="00965FD8" w:rsidRDefault="00CE4F61" w:rsidP="00CE4F6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857FC4">
              <w:rPr>
                <w:sz w:val="28"/>
                <w:szCs w:val="28"/>
                <w:lang w:val="uk-UA"/>
              </w:rPr>
              <w:t>тис. грн.</w:t>
            </w:r>
          </w:p>
        </w:tc>
        <w:tc>
          <w:tcPr>
            <w:tcW w:w="1616" w:type="dxa"/>
            <w:vAlign w:val="center"/>
          </w:tcPr>
          <w:p w:rsidR="00CE4F61" w:rsidRPr="00857FC4" w:rsidRDefault="00CE528E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151 116,4</w:t>
            </w:r>
            <w:r w:rsidR="00CE4F61">
              <w:rPr>
                <w:sz w:val="28"/>
                <w:szCs w:val="28"/>
                <w:lang w:val="uk-UA"/>
              </w:rPr>
              <w:t xml:space="preserve"> тис.грн.</w:t>
            </w:r>
          </w:p>
        </w:tc>
        <w:tc>
          <w:tcPr>
            <w:tcW w:w="1561" w:type="dxa"/>
            <w:vAlign w:val="center"/>
          </w:tcPr>
          <w:p w:rsidR="00CE4F61" w:rsidRPr="00857FC4" w:rsidRDefault="00CE4F61" w:rsidP="00C049D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+ </w:t>
            </w:r>
            <w:r w:rsidR="00C049D6">
              <w:rPr>
                <w:sz w:val="28"/>
                <w:szCs w:val="28"/>
                <w:lang w:val="uk-UA"/>
              </w:rPr>
              <w:t>11 356,7</w:t>
            </w:r>
            <w:r w:rsidR="006A281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тис.грн.</w:t>
            </w:r>
          </w:p>
        </w:tc>
      </w:tr>
      <w:tr w:rsidR="00CE4F61" w:rsidTr="00CE4F61">
        <w:tc>
          <w:tcPr>
            <w:tcW w:w="696" w:type="dxa"/>
            <w:vAlign w:val="center"/>
          </w:tcPr>
          <w:p w:rsidR="00CE4F61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3" w:type="dxa"/>
            <w:vAlign w:val="center"/>
          </w:tcPr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 xml:space="preserve">Кількість суб’єктів господарювання, </w:t>
            </w:r>
            <w:r w:rsidRPr="006423E0">
              <w:rPr>
                <w:sz w:val="28"/>
                <w:szCs w:val="28"/>
                <w:lang w:val="uk-UA"/>
              </w:rPr>
              <w:t>яким за рахунок коштів міського бюджету надано пільги</w:t>
            </w:r>
          </w:p>
        </w:tc>
        <w:tc>
          <w:tcPr>
            <w:tcW w:w="1866" w:type="dxa"/>
            <w:vAlign w:val="center"/>
          </w:tcPr>
          <w:p w:rsidR="00CE4F61" w:rsidRPr="00086DC6" w:rsidRDefault="00ED4D8D" w:rsidP="00CE4F61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ED4D8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16" w:type="dxa"/>
            <w:vAlign w:val="center"/>
          </w:tcPr>
          <w:p w:rsidR="00CE4F61" w:rsidRPr="0035465C" w:rsidRDefault="006A2819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61" w:type="dxa"/>
            <w:vAlign w:val="center"/>
          </w:tcPr>
          <w:p w:rsidR="00CE4F61" w:rsidRPr="0035465C" w:rsidRDefault="00ED4D8D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CE4F61" w:rsidRPr="006A2819" w:rsidTr="00CE4F61">
        <w:tc>
          <w:tcPr>
            <w:tcW w:w="696" w:type="dxa"/>
            <w:vAlign w:val="center"/>
          </w:tcPr>
          <w:p w:rsidR="00CE4F61" w:rsidRDefault="00F30755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3" w:type="dxa"/>
            <w:vAlign w:val="center"/>
          </w:tcPr>
          <w:p w:rsidR="00CE4F61" w:rsidRDefault="00CE4F61" w:rsidP="00ED4D8D">
            <w:pPr>
              <w:jc w:val="center"/>
              <w:rPr>
                <w:sz w:val="28"/>
                <w:szCs w:val="28"/>
                <w:lang w:val="uk-UA"/>
              </w:rPr>
            </w:pPr>
            <w:r w:rsidRPr="00F53B62">
              <w:rPr>
                <w:sz w:val="28"/>
                <w:szCs w:val="28"/>
                <w:lang w:val="uk-UA"/>
              </w:rPr>
              <w:t>Сума наданих пільг зі сплати земельного податку</w:t>
            </w:r>
          </w:p>
        </w:tc>
        <w:tc>
          <w:tcPr>
            <w:tcW w:w="1866" w:type="dxa"/>
            <w:vAlign w:val="center"/>
          </w:tcPr>
          <w:p w:rsidR="00B46687" w:rsidRDefault="00B4668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8 806,2</w:t>
            </w:r>
          </w:p>
          <w:p w:rsidR="00CE4F61" w:rsidRDefault="00CE4F61" w:rsidP="00CE4F61">
            <w:pPr>
              <w:jc w:val="center"/>
              <w:rPr>
                <w:sz w:val="28"/>
                <w:szCs w:val="28"/>
                <w:lang w:val="uk-UA"/>
              </w:rPr>
            </w:pPr>
            <w:r w:rsidRPr="003C38F1">
              <w:rPr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616" w:type="dxa"/>
            <w:vAlign w:val="center"/>
          </w:tcPr>
          <w:p w:rsidR="00CE4F61" w:rsidRDefault="00B46687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13 611,3</w:t>
            </w:r>
            <w:r w:rsidR="00CE4F61">
              <w:rPr>
                <w:sz w:val="28"/>
                <w:szCs w:val="28"/>
                <w:lang w:val="uk-UA"/>
              </w:rPr>
              <w:t xml:space="preserve"> тис</w:t>
            </w:r>
            <w:r w:rsidR="00ED4D8D">
              <w:rPr>
                <w:sz w:val="28"/>
                <w:szCs w:val="28"/>
                <w:lang w:val="uk-UA"/>
              </w:rPr>
              <w:t>.грн.</w:t>
            </w:r>
          </w:p>
        </w:tc>
        <w:tc>
          <w:tcPr>
            <w:tcW w:w="1561" w:type="dxa"/>
            <w:vAlign w:val="center"/>
          </w:tcPr>
          <w:p w:rsidR="00CE4F61" w:rsidRPr="00ED4D8D" w:rsidRDefault="00B46687" w:rsidP="00ED4D8D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4 805,1</w:t>
            </w:r>
            <w:r w:rsidR="00ED4D8D">
              <w:rPr>
                <w:sz w:val="28"/>
                <w:szCs w:val="28"/>
                <w:lang w:val="uk-UA"/>
              </w:rPr>
              <w:t xml:space="preserve"> тис.грн.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67012B" w:rsidRDefault="00764B93" w:rsidP="008B0E6C">
      <w:pPr>
        <w:jc w:val="both"/>
        <w:rPr>
          <w:sz w:val="28"/>
          <w:szCs w:val="28"/>
          <w:lang w:val="uk-UA" w:bidi="th-TH"/>
        </w:rPr>
      </w:pPr>
      <w:r>
        <w:rPr>
          <w:sz w:val="28"/>
          <w:szCs w:val="28"/>
          <w:lang w:val="uk-UA"/>
        </w:rPr>
        <w:t xml:space="preserve">         Да</w:t>
      </w:r>
      <w:r w:rsidR="008B0E6C">
        <w:rPr>
          <w:sz w:val="28"/>
          <w:szCs w:val="28"/>
          <w:lang w:val="uk-UA"/>
        </w:rPr>
        <w:t>ний регуляторний акт</w:t>
      </w:r>
      <w:r w:rsidR="0067012B">
        <w:rPr>
          <w:sz w:val="28"/>
          <w:szCs w:val="28"/>
          <w:lang w:val="uk-UA"/>
        </w:rPr>
        <w:t xml:space="preserve">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35465C">
        <w:rPr>
          <w:sz w:val="28"/>
          <w:szCs w:val="28"/>
          <w:lang w:val="uk-UA" w:bidi="th-TH"/>
        </w:rPr>
        <w:t>ає</w:t>
      </w:r>
      <w:r w:rsidR="0067012B">
        <w:rPr>
          <w:sz w:val="28"/>
          <w:szCs w:val="28"/>
          <w:lang w:val="uk-UA" w:bidi="th-TH"/>
        </w:rPr>
        <w:t xml:space="preserve"> платників земельного податку та орендної плати за землю, об’єкти та базу оподаткування, ставки</w:t>
      </w:r>
      <w:r w:rsidR="00C674AE">
        <w:rPr>
          <w:sz w:val="28"/>
          <w:szCs w:val="28"/>
          <w:lang w:val="uk-UA" w:bidi="th-TH"/>
        </w:rPr>
        <w:t xml:space="preserve"> земельного податку та розміри орендної плати за землю, пільги щодо сплати земельного податку для фізичних та юридичних осіб.</w:t>
      </w:r>
    </w:p>
    <w:p w:rsidR="00EE4B3A" w:rsidRPr="00EE4B3A" w:rsidRDefault="00EE4B3A" w:rsidP="00EE4B3A">
      <w:pPr>
        <w:ind w:firstLine="708"/>
        <w:jc w:val="both"/>
        <w:rPr>
          <w:sz w:val="28"/>
          <w:szCs w:val="28"/>
        </w:rPr>
      </w:pPr>
      <w:proofErr w:type="spellStart"/>
      <w:r w:rsidRPr="00EE4B3A">
        <w:rPr>
          <w:sz w:val="28"/>
          <w:szCs w:val="28"/>
        </w:rPr>
        <w:lastRenderedPageBreak/>
        <w:t>Відповідно</w:t>
      </w:r>
      <w:proofErr w:type="spellEnd"/>
      <w:r w:rsidRPr="00EE4B3A">
        <w:rPr>
          <w:sz w:val="28"/>
          <w:szCs w:val="28"/>
        </w:rPr>
        <w:t xml:space="preserve"> до пункту 284.1 </w:t>
      </w:r>
      <w:proofErr w:type="spellStart"/>
      <w:r w:rsidRPr="00EE4B3A">
        <w:rPr>
          <w:sz w:val="28"/>
          <w:szCs w:val="28"/>
        </w:rPr>
        <w:t>статті</w:t>
      </w:r>
      <w:proofErr w:type="spellEnd"/>
      <w:r w:rsidRPr="00EE4B3A">
        <w:rPr>
          <w:sz w:val="28"/>
          <w:szCs w:val="28"/>
        </w:rPr>
        <w:t xml:space="preserve"> 284 </w:t>
      </w:r>
      <w:proofErr w:type="spellStart"/>
      <w:r w:rsidRPr="00EE4B3A">
        <w:rPr>
          <w:sz w:val="28"/>
          <w:szCs w:val="28"/>
        </w:rPr>
        <w:t>Податкового</w:t>
      </w:r>
      <w:proofErr w:type="spellEnd"/>
      <w:r w:rsidRPr="00EE4B3A">
        <w:rPr>
          <w:sz w:val="28"/>
          <w:szCs w:val="28"/>
        </w:rPr>
        <w:t xml:space="preserve"> кодексу </w:t>
      </w:r>
      <w:proofErr w:type="spellStart"/>
      <w:r w:rsidRPr="00EE4B3A">
        <w:rPr>
          <w:sz w:val="28"/>
          <w:szCs w:val="28"/>
        </w:rPr>
        <w:t>України</w:t>
      </w:r>
      <w:proofErr w:type="spellEnd"/>
      <w:r w:rsidRPr="00EE4B3A">
        <w:rPr>
          <w:sz w:val="28"/>
          <w:szCs w:val="28"/>
        </w:rPr>
        <w:t xml:space="preserve"> (</w:t>
      </w:r>
      <w:proofErr w:type="spellStart"/>
      <w:r w:rsidRPr="00EE4B3A">
        <w:rPr>
          <w:sz w:val="28"/>
          <w:szCs w:val="28"/>
        </w:rPr>
        <w:t>органи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місцевого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самоврядування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встановлюють</w:t>
      </w:r>
      <w:proofErr w:type="spellEnd"/>
      <w:r w:rsidRPr="00EE4B3A">
        <w:rPr>
          <w:sz w:val="28"/>
          <w:szCs w:val="28"/>
        </w:rPr>
        <w:t xml:space="preserve"> ставки плати за землю та </w:t>
      </w:r>
      <w:proofErr w:type="spellStart"/>
      <w:r w:rsidRPr="00EE4B3A">
        <w:rPr>
          <w:sz w:val="28"/>
          <w:szCs w:val="28"/>
        </w:rPr>
        <w:t>пільги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щодо</w:t>
      </w:r>
      <w:proofErr w:type="spellEnd"/>
      <w:r w:rsidRPr="00EE4B3A">
        <w:rPr>
          <w:sz w:val="28"/>
          <w:szCs w:val="28"/>
        </w:rPr>
        <w:t xml:space="preserve"> земельного </w:t>
      </w:r>
      <w:proofErr w:type="spellStart"/>
      <w:r w:rsidRPr="00EE4B3A">
        <w:rPr>
          <w:sz w:val="28"/>
          <w:szCs w:val="28"/>
        </w:rPr>
        <w:t>податку</w:t>
      </w:r>
      <w:proofErr w:type="spellEnd"/>
      <w:r w:rsidRPr="00EE4B3A">
        <w:rPr>
          <w:sz w:val="28"/>
          <w:szCs w:val="28"/>
        </w:rPr>
        <w:t xml:space="preserve">) та на </w:t>
      </w:r>
      <w:proofErr w:type="spellStart"/>
      <w:r w:rsidRPr="00EE4B3A">
        <w:rPr>
          <w:sz w:val="28"/>
          <w:szCs w:val="28"/>
        </w:rPr>
        <w:t>виконання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рішення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Сумської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міської</w:t>
      </w:r>
      <w:proofErr w:type="spellEnd"/>
      <w:r w:rsidRPr="00EE4B3A">
        <w:rPr>
          <w:sz w:val="28"/>
          <w:szCs w:val="28"/>
        </w:rPr>
        <w:t xml:space="preserve"> ради </w:t>
      </w:r>
      <w:proofErr w:type="spellStart"/>
      <w:r w:rsidRPr="00EE4B3A">
        <w:rPr>
          <w:sz w:val="28"/>
          <w:szCs w:val="28"/>
        </w:rPr>
        <w:t>від</w:t>
      </w:r>
      <w:proofErr w:type="spellEnd"/>
      <w:r w:rsidRPr="00EE4B3A">
        <w:rPr>
          <w:sz w:val="28"/>
          <w:szCs w:val="28"/>
        </w:rPr>
        <w:t xml:space="preserve"> 29 листопада 2017 року № 2877-МР «Про план </w:t>
      </w:r>
      <w:proofErr w:type="spellStart"/>
      <w:r w:rsidRPr="00EE4B3A">
        <w:rPr>
          <w:sz w:val="28"/>
          <w:szCs w:val="28"/>
        </w:rPr>
        <w:t>діяльності</w:t>
      </w:r>
      <w:proofErr w:type="spellEnd"/>
      <w:r w:rsidRPr="00EE4B3A">
        <w:rPr>
          <w:sz w:val="28"/>
          <w:szCs w:val="28"/>
        </w:rPr>
        <w:t xml:space="preserve"> з </w:t>
      </w:r>
      <w:proofErr w:type="spellStart"/>
      <w:r w:rsidRPr="00EE4B3A">
        <w:rPr>
          <w:sz w:val="28"/>
          <w:szCs w:val="28"/>
        </w:rPr>
        <w:t>підготовки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проектів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регуляторних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актів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Сумської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міської</w:t>
      </w:r>
      <w:proofErr w:type="spellEnd"/>
      <w:r w:rsidRPr="00EE4B3A">
        <w:rPr>
          <w:sz w:val="28"/>
          <w:szCs w:val="28"/>
        </w:rPr>
        <w:t xml:space="preserve"> ради на 2018 </w:t>
      </w:r>
      <w:proofErr w:type="spellStart"/>
      <w:r w:rsidRPr="00EE4B3A">
        <w:rPr>
          <w:sz w:val="28"/>
          <w:szCs w:val="28"/>
        </w:rPr>
        <w:t>рік</w:t>
      </w:r>
      <w:proofErr w:type="spellEnd"/>
      <w:r w:rsidRPr="00EE4B3A">
        <w:rPr>
          <w:sz w:val="28"/>
          <w:szCs w:val="28"/>
        </w:rPr>
        <w:t xml:space="preserve">» департаментом забезпечення ресурсних платежів </w:t>
      </w:r>
      <w:proofErr w:type="spellStart"/>
      <w:r w:rsidRPr="00EE4B3A">
        <w:rPr>
          <w:sz w:val="28"/>
          <w:szCs w:val="28"/>
        </w:rPr>
        <w:t>Сумської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міської</w:t>
      </w:r>
      <w:proofErr w:type="spellEnd"/>
      <w:r w:rsidRPr="00EE4B3A">
        <w:rPr>
          <w:sz w:val="28"/>
          <w:szCs w:val="28"/>
        </w:rPr>
        <w:t xml:space="preserve"> ради </w:t>
      </w:r>
      <w:proofErr w:type="spellStart"/>
      <w:r w:rsidRPr="00EE4B3A">
        <w:rPr>
          <w:sz w:val="28"/>
          <w:szCs w:val="28"/>
        </w:rPr>
        <w:t>підготовлений</w:t>
      </w:r>
      <w:proofErr w:type="spellEnd"/>
      <w:r w:rsidRPr="00EE4B3A">
        <w:rPr>
          <w:sz w:val="28"/>
          <w:szCs w:val="28"/>
        </w:rPr>
        <w:t xml:space="preserve"> та </w:t>
      </w:r>
      <w:proofErr w:type="spellStart"/>
      <w:r w:rsidRPr="00EE4B3A">
        <w:rPr>
          <w:sz w:val="28"/>
          <w:szCs w:val="28"/>
        </w:rPr>
        <w:t>оприлюднений</w:t>
      </w:r>
      <w:proofErr w:type="spellEnd"/>
      <w:r w:rsidRPr="00EE4B3A">
        <w:rPr>
          <w:sz w:val="28"/>
          <w:szCs w:val="28"/>
        </w:rPr>
        <w:t xml:space="preserve"> проект регуляторного акта – </w:t>
      </w:r>
      <w:proofErr w:type="spellStart"/>
      <w:r w:rsidRPr="00EE4B3A">
        <w:rPr>
          <w:sz w:val="28"/>
          <w:szCs w:val="28"/>
        </w:rPr>
        <w:t>рішення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Сумської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міської</w:t>
      </w:r>
      <w:proofErr w:type="spellEnd"/>
      <w:r w:rsidRPr="00EE4B3A">
        <w:rPr>
          <w:sz w:val="28"/>
          <w:szCs w:val="28"/>
        </w:rPr>
        <w:t xml:space="preserve"> ради «Про </w:t>
      </w:r>
      <w:proofErr w:type="spellStart"/>
      <w:r w:rsidRPr="00EE4B3A">
        <w:rPr>
          <w:sz w:val="28"/>
          <w:szCs w:val="28"/>
        </w:rPr>
        <w:t>встановлення</w:t>
      </w:r>
      <w:proofErr w:type="spellEnd"/>
      <w:r w:rsidRPr="00EE4B3A">
        <w:rPr>
          <w:sz w:val="28"/>
          <w:szCs w:val="28"/>
        </w:rPr>
        <w:t xml:space="preserve"> плати за землю».</w:t>
      </w:r>
    </w:p>
    <w:p w:rsidR="00EE4B3A" w:rsidRPr="00EE4B3A" w:rsidRDefault="00EE4B3A" w:rsidP="00EE4B3A">
      <w:pPr>
        <w:ind w:firstLine="708"/>
        <w:jc w:val="both"/>
        <w:rPr>
          <w:sz w:val="28"/>
          <w:szCs w:val="28"/>
        </w:rPr>
      </w:pPr>
      <w:proofErr w:type="spellStart"/>
      <w:r w:rsidRPr="00EE4B3A">
        <w:rPr>
          <w:sz w:val="28"/>
          <w:szCs w:val="28"/>
        </w:rPr>
        <w:t>Враховуючи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вищевикладене</w:t>
      </w:r>
      <w:proofErr w:type="spellEnd"/>
      <w:r w:rsidRPr="00EE4B3A">
        <w:rPr>
          <w:sz w:val="28"/>
          <w:szCs w:val="28"/>
        </w:rPr>
        <w:t xml:space="preserve">, з моменту </w:t>
      </w:r>
      <w:proofErr w:type="spellStart"/>
      <w:r w:rsidRPr="00EE4B3A">
        <w:rPr>
          <w:sz w:val="28"/>
          <w:szCs w:val="28"/>
        </w:rPr>
        <w:t>затвердження</w:t>
      </w:r>
      <w:proofErr w:type="spellEnd"/>
      <w:r w:rsidRPr="00EE4B3A">
        <w:rPr>
          <w:sz w:val="28"/>
          <w:szCs w:val="28"/>
        </w:rPr>
        <w:t xml:space="preserve"> Ставок</w:t>
      </w:r>
      <w:r w:rsidRPr="00EE4B3A">
        <w:t xml:space="preserve"> </w:t>
      </w:r>
      <w:r w:rsidRPr="00EE4B3A">
        <w:rPr>
          <w:sz w:val="28"/>
          <w:szCs w:val="28"/>
        </w:rPr>
        <w:t xml:space="preserve">земельного </w:t>
      </w:r>
      <w:proofErr w:type="spellStart"/>
      <w:r w:rsidRPr="00EE4B3A">
        <w:rPr>
          <w:sz w:val="28"/>
          <w:szCs w:val="28"/>
        </w:rPr>
        <w:t>податку</w:t>
      </w:r>
      <w:proofErr w:type="spellEnd"/>
      <w:r w:rsidRPr="00EE4B3A">
        <w:rPr>
          <w:sz w:val="28"/>
          <w:szCs w:val="28"/>
        </w:rPr>
        <w:t xml:space="preserve"> на 2019 </w:t>
      </w:r>
      <w:proofErr w:type="spellStart"/>
      <w:r w:rsidRPr="00EE4B3A">
        <w:rPr>
          <w:sz w:val="28"/>
          <w:szCs w:val="28"/>
        </w:rPr>
        <w:t>рік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відповідного</w:t>
      </w:r>
      <w:proofErr w:type="spellEnd"/>
      <w:r w:rsidRPr="00EE4B3A">
        <w:rPr>
          <w:sz w:val="28"/>
          <w:szCs w:val="28"/>
        </w:rPr>
        <w:t xml:space="preserve"> проекту, подальше </w:t>
      </w:r>
      <w:proofErr w:type="spellStart"/>
      <w:r w:rsidRPr="00EE4B3A">
        <w:rPr>
          <w:sz w:val="28"/>
          <w:szCs w:val="28"/>
        </w:rPr>
        <w:t>відстеження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результативності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дії</w:t>
      </w:r>
      <w:proofErr w:type="spellEnd"/>
      <w:r w:rsidRPr="00EE4B3A">
        <w:rPr>
          <w:sz w:val="28"/>
          <w:szCs w:val="28"/>
        </w:rPr>
        <w:t xml:space="preserve"> регуляторного акта – </w:t>
      </w:r>
      <w:proofErr w:type="spellStart"/>
      <w:r w:rsidRPr="00EE4B3A">
        <w:rPr>
          <w:sz w:val="28"/>
          <w:szCs w:val="28"/>
        </w:rPr>
        <w:t>рішення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Сумської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міської</w:t>
      </w:r>
      <w:proofErr w:type="spellEnd"/>
      <w:r w:rsidRPr="00EE4B3A">
        <w:rPr>
          <w:sz w:val="28"/>
          <w:szCs w:val="28"/>
        </w:rPr>
        <w:t xml:space="preserve"> ради </w:t>
      </w:r>
      <w:proofErr w:type="spellStart"/>
      <w:r w:rsidRPr="00EE4B3A">
        <w:rPr>
          <w:sz w:val="28"/>
          <w:szCs w:val="28"/>
        </w:rPr>
        <w:t>від</w:t>
      </w:r>
      <w:proofErr w:type="spellEnd"/>
      <w:r w:rsidRPr="00EE4B3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</w:t>
      </w:r>
      <w:r w:rsidRPr="00EE4B3A">
        <w:rPr>
          <w:sz w:val="28"/>
          <w:szCs w:val="28"/>
        </w:rPr>
        <w:t xml:space="preserve">08 </w:t>
      </w:r>
      <w:proofErr w:type="spellStart"/>
      <w:r w:rsidRPr="00EE4B3A">
        <w:rPr>
          <w:sz w:val="28"/>
          <w:szCs w:val="28"/>
        </w:rPr>
        <w:t>липня</w:t>
      </w:r>
      <w:proofErr w:type="spellEnd"/>
      <w:r w:rsidRPr="00EE4B3A">
        <w:rPr>
          <w:sz w:val="28"/>
          <w:szCs w:val="28"/>
        </w:rPr>
        <w:t xml:space="preserve"> 2015 року № 4562-МР «Про </w:t>
      </w:r>
      <w:proofErr w:type="spellStart"/>
      <w:r w:rsidRPr="00EE4B3A">
        <w:rPr>
          <w:sz w:val="28"/>
          <w:szCs w:val="28"/>
        </w:rPr>
        <w:t>встановлення</w:t>
      </w:r>
      <w:proofErr w:type="spellEnd"/>
      <w:r w:rsidRPr="00EE4B3A">
        <w:rPr>
          <w:sz w:val="28"/>
          <w:szCs w:val="28"/>
        </w:rPr>
        <w:t xml:space="preserve"> плати за землю на </w:t>
      </w:r>
      <w:proofErr w:type="spellStart"/>
      <w:r w:rsidRPr="00EE4B3A">
        <w:rPr>
          <w:sz w:val="28"/>
          <w:szCs w:val="28"/>
        </w:rPr>
        <w:t>території</w:t>
      </w:r>
      <w:proofErr w:type="spellEnd"/>
      <w:r w:rsidRPr="00EE4B3A">
        <w:rPr>
          <w:sz w:val="28"/>
          <w:szCs w:val="28"/>
        </w:rPr>
        <w:t xml:space="preserve"> міста Суми» </w:t>
      </w:r>
      <w:proofErr w:type="spellStart"/>
      <w:r w:rsidRPr="00EE4B3A">
        <w:rPr>
          <w:sz w:val="28"/>
          <w:szCs w:val="28"/>
        </w:rPr>
        <w:t>зі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змінами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від</w:t>
      </w:r>
      <w:proofErr w:type="spellEnd"/>
      <w:r w:rsidRPr="00EE4B3A">
        <w:rPr>
          <w:sz w:val="28"/>
          <w:szCs w:val="28"/>
        </w:rPr>
        <w:t xml:space="preserve"> 26 </w:t>
      </w:r>
      <w:proofErr w:type="spellStart"/>
      <w:r w:rsidRPr="00EE4B3A">
        <w:rPr>
          <w:sz w:val="28"/>
          <w:szCs w:val="28"/>
        </w:rPr>
        <w:t>квітня</w:t>
      </w:r>
      <w:proofErr w:type="spellEnd"/>
      <w:r w:rsidRPr="00EE4B3A">
        <w:rPr>
          <w:sz w:val="28"/>
          <w:szCs w:val="28"/>
        </w:rPr>
        <w:t xml:space="preserve"> 2017 року № 2041- МР «Про </w:t>
      </w:r>
      <w:proofErr w:type="spellStart"/>
      <w:r w:rsidRPr="00EE4B3A">
        <w:rPr>
          <w:sz w:val="28"/>
          <w:szCs w:val="28"/>
        </w:rPr>
        <w:t>внесення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змін</w:t>
      </w:r>
      <w:proofErr w:type="spellEnd"/>
      <w:r w:rsidRPr="00EE4B3A">
        <w:rPr>
          <w:sz w:val="28"/>
          <w:szCs w:val="28"/>
        </w:rPr>
        <w:t xml:space="preserve"> до </w:t>
      </w:r>
      <w:proofErr w:type="spellStart"/>
      <w:r w:rsidRPr="00EE4B3A">
        <w:rPr>
          <w:sz w:val="28"/>
          <w:szCs w:val="28"/>
        </w:rPr>
        <w:t>рішення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Сумської</w:t>
      </w:r>
      <w:proofErr w:type="spellEnd"/>
      <w:r w:rsidRPr="00EE4B3A">
        <w:rPr>
          <w:sz w:val="28"/>
          <w:szCs w:val="28"/>
        </w:rPr>
        <w:t xml:space="preserve"> </w:t>
      </w:r>
      <w:proofErr w:type="spellStart"/>
      <w:r w:rsidRPr="00EE4B3A">
        <w:rPr>
          <w:sz w:val="28"/>
          <w:szCs w:val="28"/>
        </w:rPr>
        <w:t>міської</w:t>
      </w:r>
      <w:proofErr w:type="spellEnd"/>
      <w:r w:rsidRPr="00EE4B3A">
        <w:rPr>
          <w:sz w:val="28"/>
          <w:szCs w:val="28"/>
        </w:rPr>
        <w:t xml:space="preserve"> ради </w:t>
      </w:r>
      <w:proofErr w:type="spellStart"/>
      <w:r w:rsidRPr="00EE4B3A">
        <w:rPr>
          <w:sz w:val="28"/>
          <w:szCs w:val="28"/>
        </w:rPr>
        <w:t>від</w:t>
      </w:r>
      <w:proofErr w:type="spellEnd"/>
      <w:r w:rsidRPr="00EE4B3A">
        <w:rPr>
          <w:sz w:val="28"/>
          <w:szCs w:val="28"/>
        </w:rPr>
        <w:t xml:space="preserve"> 08 </w:t>
      </w:r>
      <w:proofErr w:type="spellStart"/>
      <w:r w:rsidRPr="00EE4B3A">
        <w:rPr>
          <w:sz w:val="28"/>
          <w:szCs w:val="28"/>
        </w:rPr>
        <w:t>липня</w:t>
      </w:r>
      <w:proofErr w:type="spellEnd"/>
      <w:r w:rsidRPr="00EE4B3A">
        <w:rPr>
          <w:sz w:val="28"/>
          <w:szCs w:val="28"/>
        </w:rPr>
        <w:t xml:space="preserve"> 2015 року  № 4562-МР «Про </w:t>
      </w:r>
      <w:proofErr w:type="spellStart"/>
      <w:r w:rsidRPr="00EE4B3A">
        <w:rPr>
          <w:sz w:val="28"/>
          <w:szCs w:val="28"/>
        </w:rPr>
        <w:t>встановлення</w:t>
      </w:r>
      <w:proofErr w:type="spellEnd"/>
      <w:r w:rsidRPr="00EE4B3A">
        <w:rPr>
          <w:sz w:val="28"/>
          <w:szCs w:val="28"/>
        </w:rPr>
        <w:t xml:space="preserve"> плати за землю на </w:t>
      </w:r>
      <w:proofErr w:type="spellStart"/>
      <w:r w:rsidRPr="00EE4B3A">
        <w:rPr>
          <w:sz w:val="28"/>
          <w:szCs w:val="28"/>
        </w:rPr>
        <w:t>території</w:t>
      </w:r>
      <w:proofErr w:type="spellEnd"/>
      <w:r w:rsidRPr="00EE4B3A">
        <w:rPr>
          <w:sz w:val="28"/>
          <w:szCs w:val="28"/>
        </w:rPr>
        <w:t xml:space="preserve"> міста Суми» </w:t>
      </w:r>
      <w:proofErr w:type="spellStart"/>
      <w:r w:rsidRPr="00EE4B3A">
        <w:rPr>
          <w:sz w:val="28"/>
          <w:szCs w:val="28"/>
        </w:rPr>
        <w:t>здійснюватися</w:t>
      </w:r>
      <w:proofErr w:type="spellEnd"/>
      <w:r w:rsidRPr="00EE4B3A">
        <w:rPr>
          <w:sz w:val="28"/>
          <w:szCs w:val="28"/>
        </w:rPr>
        <w:t xml:space="preserve"> не буде.</w:t>
      </w:r>
    </w:p>
    <w:p w:rsidR="00764B93" w:rsidRPr="00EE4B3A" w:rsidRDefault="00764B93" w:rsidP="00764B93">
      <w:pPr>
        <w:jc w:val="both"/>
        <w:rPr>
          <w:bCs/>
          <w:sz w:val="28"/>
          <w:szCs w:val="28"/>
        </w:rPr>
      </w:pP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BB6976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Перший заступник міського голови</w:t>
      </w:r>
      <w:r w:rsidR="00DE113C">
        <w:rPr>
          <w:b/>
          <w:sz w:val="28"/>
          <w:szCs w:val="28"/>
          <w:lang w:val="uk-UA"/>
        </w:rPr>
        <w:t xml:space="preserve">        </w:t>
      </w:r>
      <w:r w:rsidR="005A2AA0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>В.В. Войтенко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B6976" w:rsidRDefault="00BB6976" w:rsidP="00D53738">
      <w:pPr>
        <w:jc w:val="both"/>
        <w:rPr>
          <w:b/>
          <w:bCs/>
          <w:i/>
          <w:lang w:val="uk-UA"/>
        </w:rPr>
      </w:pPr>
    </w:p>
    <w:p w:rsidR="00BB6976" w:rsidRDefault="00BB6976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Соврікова</w:t>
      </w:r>
    </w:p>
    <w:p w:rsidR="00BB6976" w:rsidRDefault="00BB6976" w:rsidP="00D53738">
      <w:pPr>
        <w:jc w:val="both"/>
        <w:rPr>
          <w:b/>
          <w:bCs/>
          <w:i/>
          <w:lang w:val="uk-UA"/>
        </w:rPr>
      </w:pPr>
    </w:p>
    <w:p w:rsidR="00BB6976" w:rsidRDefault="00BB6976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Яковенко 700428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sectPr w:rsidR="00B761BD" w:rsidSect="00FE4B85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9D7E3E"/>
    <w:multiLevelType w:val="hybridMultilevel"/>
    <w:tmpl w:val="F7E6F6D4"/>
    <w:lvl w:ilvl="0" w:tplc="AB0446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86DC6"/>
    <w:rsid w:val="000B18EF"/>
    <w:rsid w:val="000D4E33"/>
    <w:rsid w:val="001268A3"/>
    <w:rsid w:val="0018592D"/>
    <w:rsid w:val="00214332"/>
    <w:rsid w:val="002741BB"/>
    <w:rsid w:val="0035465C"/>
    <w:rsid w:val="00356CFB"/>
    <w:rsid w:val="003C38F1"/>
    <w:rsid w:val="00403A33"/>
    <w:rsid w:val="00421B45"/>
    <w:rsid w:val="00430BE1"/>
    <w:rsid w:val="004C3789"/>
    <w:rsid w:val="005A2AA0"/>
    <w:rsid w:val="005A60E4"/>
    <w:rsid w:val="006423E0"/>
    <w:rsid w:val="0067012B"/>
    <w:rsid w:val="0068448C"/>
    <w:rsid w:val="006A2819"/>
    <w:rsid w:val="006A2DFA"/>
    <w:rsid w:val="007205C2"/>
    <w:rsid w:val="0073725E"/>
    <w:rsid w:val="00764B93"/>
    <w:rsid w:val="007727A7"/>
    <w:rsid w:val="0079799A"/>
    <w:rsid w:val="008519BA"/>
    <w:rsid w:val="008B0E6C"/>
    <w:rsid w:val="00965FD8"/>
    <w:rsid w:val="00992BBC"/>
    <w:rsid w:val="00AB2710"/>
    <w:rsid w:val="00AF2103"/>
    <w:rsid w:val="00B46687"/>
    <w:rsid w:val="00B52494"/>
    <w:rsid w:val="00B761BD"/>
    <w:rsid w:val="00BB6976"/>
    <w:rsid w:val="00BD17AC"/>
    <w:rsid w:val="00C049D6"/>
    <w:rsid w:val="00C21DCF"/>
    <w:rsid w:val="00C674AE"/>
    <w:rsid w:val="00CE4F61"/>
    <w:rsid w:val="00CE528E"/>
    <w:rsid w:val="00D53738"/>
    <w:rsid w:val="00DE113C"/>
    <w:rsid w:val="00DE41F1"/>
    <w:rsid w:val="00E05F78"/>
    <w:rsid w:val="00E43F06"/>
    <w:rsid w:val="00E5601F"/>
    <w:rsid w:val="00EA4318"/>
    <w:rsid w:val="00ED4D8D"/>
    <w:rsid w:val="00EE4B3A"/>
    <w:rsid w:val="00EF0214"/>
    <w:rsid w:val="00F14397"/>
    <w:rsid w:val="00F30755"/>
    <w:rsid w:val="00F41A73"/>
    <w:rsid w:val="00FE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31BD-F8E9-4211-8F23-71D34C64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D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E377B-2CD3-4932-989F-C0E8F1E7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2</cp:revision>
  <cp:lastPrinted>2018-06-19T07:10:00Z</cp:lastPrinted>
  <dcterms:created xsi:type="dcterms:W3CDTF">2018-07-03T06:04:00Z</dcterms:created>
  <dcterms:modified xsi:type="dcterms:W3CDTF">2018-07-03T06:04:00Z</dcterms:modified>
</cp:coreProperties>
</file>