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8F" w:rsidRPr="00A52F8F" w:rsidRDefault="00A52F8F" w:rsidP="00A52F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</w:p>
    <w:p w:rsidR="00764B93" w:rsidRDefault="00764B93" w:rsidP="00CA2B1E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Pr="00CA2B1E" w:rsidRDefault="00CA2B1E" w:rsidP="00E749C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13B05">
        <w:rPr>
          <w:b/>
          <w:sz w:val="28"/>
          <w:szCs w:val="28"/>
          <w:lang w:val="uk-UA"/>
        </w:rPr>
        <w:t>п</w:t>
      </w:r>
      <w:r w:rsidR="000E6417">
        <w:rPr>
          <w:b/>
          <w:sz w:val="28"/>
          <w:szCs w:val="28"/>
          <w:lang w:val="uk-UA"/>
        </w:rPr>
        <w:t>еріодичне</w:t>
      </w:r>
      <w:r>
        <w:rPr>
          <w:b/>
          <w:sz w:val="28"/>
          <w:szCs w:val="28"/>
          <w:lang w:val="uk-UA"/>
        </w:rPr>
        <w:t xml:space="preserve"> відстеження </w:t>
      </w:r>
      <w:r w:rsidR="00764B93">
        <w:rPr>
          <w:b/>
          <w:sz w:val="28"/>
          <w:szCs w:val="28"/>
          <w:lang w:val="uk-UA"/>
        </w:rPr>
        <w:t>результативності регуляторного акта –</w:t>
      </w:r>
      <w:r w:rsidR="00F71C4A">
        <w:rPr>
          <w:rStyle w:val="a4"/>
          <w:sz w:val="28"/>
          <w:szCs w:val="28"/>
          <w:lang w:val="uk-UA"/>
        </w:rPr>
        <w:t xml:space="preserve"> </w:t>
      </w:r>
      <w:r w:rsidR="00764B93">
        <w:rPr>
          <w:rStyle w:val="a4"/>
          <w:sz w:val="28"/>
          <w:szCs w:val="28"/>
          <w:lang w:val="uk-UA"/>
        </w:rPr>
        <w:t xml:space="preserve">рішення </w:t>
      </w:r>
      <w:r w:rsidR="00764B93">
        <w:rPr>
          <w:b/>
          <w:sz w:val="28"/>
          <w:szCs w:val="28"/>
          <w:lang w:val="uk-UA"/>
        </w:rPr>
        <w:t xml:space="preserve">Сумської міської ради </w:t>
      </w:r>
      <w:r w:rsidR="00097C5B">
        <w:rPr>
          <w:b/>
          <w:sz w:val="28"/>
          <w:szCs w:val="28"/>
          <w:lang w:val="uk-UA"/>
        </w:rPr>
        <w:t xml:space="preserve">від 05 жовтня 2016 року № 1162-МР </w:t>
      </w:r>
      <w:r w:rsidR="00764B93" w:rsidRPr="00CA2B1E">
        <w:rPr>
          <w:b/>
          <w:sz w:val="28"/>
          <w:szCs w:val="28"/>
          <w:lang w:val="uk-UA"/>
        </w:rPr>
        <w:t>«</w:t>
      </w:r>
      <w:r w:rsidRPr="00CA2B1E">
        <w:rPr>
          <w:rStyle w:val="a4"/>
          <w:sz w:val="28"/>
          <w:szCs w:val="28"/>
          <w:lang w:val="uk-UA"/>
        </w:rPr>
        <w:t xml:space="preserve">Про затвердження Положення </w:t>
      </w:r>
      <w:r w:rsidRPr="00876766">
        <w:rPr>
          <w:b/>
          <w:sz w:val="28"/>
          <w:szCs w:val="28"/>
          <w:lang w:val="uk-UA"/>
        </w:rPr>
        <w:t xml:space="preserve">про </w:t>
      </w:r>
      <w:r w:rsidRPr="00CA2B1E">
        <w:rPr>
          <w:b/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Pr="00CA2B1E">
        <w:rPr>
          <w:rStyle w:val="a4"/>
          <w:sz w:val="28"/>
          <w:szCs w:val="28"/>
          <w:lang w:val="uk-UA"/>
        </w:rPr>
        <w:t>»</w:t>
      </w:r>
    </w:p>
    <w:p w:rsidR="00764B93" w:rsidRDefault="00764B93" w:rsidP="00764B93">
      <w:pPr>
        <w:pStyle w:val="3"/>
        <w:jc w:val="center"/>
      </w:pPr>
    </w:p>
    <w:p w:rsidR="00AC4D07" w:rsidRDefault="00764B93" w:rsidP="00AC4D07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</w:t>
      </w:r>
      <w:r w:rsidR="00AC4D07">
        <w:rPr>
          <w:b/>
          <w:iCs/>
          <w:color w:val="000000"/>
          <w:spacing w:val="1"/>
          <w:sz w:val="28"/>
          <w:szCs w:val="28"/>
          <w:lang w:val="uk-UA"/>
        </w:rPr>
        <w:t xml:space="preserve">Вид та назва регуляторного акта, результативність якого відстежується, </w:t>
      </w:r>
      <w:r w:rsidR="00AC4D07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DE1EF5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764B93" w:rsidRDefault="00CA2B1E" w:rsidP="00AC4D07">
      <w:pPr>
        <w:widowControl w:val="0"/>
        <w:autoSpaceDE w:val="0"/>
        <w:autoSpaceDN w:val="0"/>
        <w:adjustRightInd w:val="0"/>
        <w:ind w:firstLine="708"/>
        <w:jc w:val="both"/>
        <w:rPr>
          <w:rStyle w:val="a4"/>
          <w:b w:val="0"/>
          <w:sz w:val="28"/>
          <w:szCs w:val="28"/>
          <w:lang w:val="uk-UA"/>
        </w:rPr>
      </w:pPr>
      <w:r w:rsidRPr="00CA2B1E">
        <w:rPr>
          <w:sz w:val="28"/>
          <w:szCs w:val="28"/>
          <w:lang w:val="uk-UA"/>
        </w:rPr>
        <w:t>Р</w:t>
      </w:r>
      <w:r w:rsidR="00764B93" w:rsidRPr="00CA2B1E">
        <w:rPr>
          <w:sz w:val="28"/>
          <w:szCs w:val="28"/>
          <w:lang w:val="uk-UA"/>
        </w:rPr>
        <w:t xml:space="preserve">ішення Сумської міської ради </w:t>
      </w:r>
      <w:r w:rsidRPr="00CA2B1E">
        <w:rPr>
          <w:sz w:val="28"/>
          <w:szCs w:val="28"/>
          <w:lang w:val="uk-UA"/>
        </w:rPr>
        <w:t>від 05</w:t>
      </w:r>
      <w:r w:rsidR="008B0BF7">
        <w:rPr>
          <w:sz w:val="28"/>
          <w:szCs w:val="28"/>
          <w:lang w:val="uk-UA"/>
        </w:rPr>
        <w:t xml:space="preserve"> </w:t>
      </w:r>
      <w:r w:rsidRPr="00CA2B1E">
        <w:rPr>
          <w:sz w:val="28"/>
          <w:szCs w:val="28"/>
          <w:lang w:val="uk-UA"/>
        </w:rPr>
        <w:t xml:space="preserve">жовтня 2016 року №1162-МР </w:t>
      </w:r>
      <w:r w:rsidR="00764B93" w:rsidRPr="00CA2B1E">
        <w:rPr>
          <w:sz w:val="28"/>
          <w:szCs w:val="28"/>
          <w:lang w:val="uk-UA"/>
        </w:rPr>
        <w:t>«</w:t>
      </w:r>
      <w:r w:rsidRPr="00CA2B1E">
        <w:rPr>
          <w:rStyle w:val="a4"/>
          <w:b w:val="0"/>
          <w:sz w:val="28"/>
          <w:szCs w:val="28"/>
          <w:lang w:val="uk-UA"/>
        </w:rPr>
        <w:t xml:space="preserve">Про затвердження Положення </w:t>
      </w:r>
      <w:r w:rsidRPr="00CA2B1E">
        <w:rPr>
          <w:sz w:val="28"/>
          <w:szCs w:val="28"/>
        </w:rPr>
        <w:t xml:space="preserve">про </w:t>
      </w:r>
      <w:r w:rsidRPr="00CA2B1E">
        <w:rPr>
          <w:sz w:val="28"/>
          <w:szCs w:val="28"/>
          <w:lang w:val="uk-UA"/>
        </w:rPr>
        <w:t>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Pr="00D03F73">
        <w:rPr>
          <w:rStyle w:val="a4"/>
          <w:b w:val="0"/>
          <w:sz w:val="28"/>
          <w:szCs w:val="28"/>
          <w:lang w:val="uk-UA"/>
        </w:rPr>
        <w:t>».</w:t>
      </w:r>
    </w:p>
    <w:p w:rsidR="00DE1EF5" w:rsidRPr="00CA2B1E" w:rsidRDefault="00DE1EF5" w:rsidP="00AC4D0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D03F7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DE1EF5">
        <w:rPr>
          <w:iCs/>
          <w:color w:val="000000"/>
          <w:spacing w:val="-5"/>
        </w:rPr>
        <w:t>:</w:t>
      </w:r>
    </w:p>
    <w:p w:rsidR="00764B93" w:rsidRDefault="00CA2B1E" w:rsidP="00D03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DE1EF5" w:rsidRDefault="00DE1EF5" w:rsidP="00D03F73">
      <w:pPr>
        <w:ind w:firstLine="708"/>
        <w:jc w:val="both"/>
        <w:rPr>
          <w:sz w:val="28"/>
          <w:szCs w:val="28"/>
          <w:lang w:val="uk-UA"/>
        </w:rPr>
      </w:pPr>
    </w:p>
    <w:p w:rsidR="00764B93" w:rsidRDefault="00764B93" w:rsidP="00D03F7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r w:rsidR="00DE1EF5">
        <w:rPr>
          <w:b/>
          <w:iCs/>
          <w:color w:val="000000"/>
          <w:spacing w:val="-1"/>
          <w:sz w:val="28"/>
          <w:szCs w:val="28"/>
          <w:lang w:val="uk-UA"/>
        </w:rPr>
        <w:t>:</w:t>
      </w:r>
      <w:bookmarkStart w:id="0" w:name="_GoBack"/>
      <w:bookmarkEnd w:id="0"/>
    </w:p>
    <w:p w:rsidR="00764B93" w:rsidRDefault="0040194F" w:rsidP="0040194F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 w:rsidR="00CA2B1E">
        <w:rPr>
          <w:bCs/>
          <w:color w:val="000000"/>
          <w:sz w:val="28"/>
          <w:szCs w:val="28"/>
          <w:lang w:val="uk-UA"/>
        </w:rPr>
        <w:t>Р</w:t>
      </w:r>
      <w:r w:rsidR="00764B93">
        <w:rPr>
          <w:bCs/>
          <w:color w:val="000000"/>
          <w:sz w:val="28"/>
          <w:szCs w:val="28"/>
          <w:lang w:val="uk-UA"/>
        </w:rPr>
        <w:t>егуляторн</w:t>
      </w:r>
      <w:r w:rsidR="00CA2B1E">
        <w:rPr>
          <w:bCs/>
          <w:color w:val="000000"/>
          <w:sz w:val="28"/>
          <w:szCs w:val="28"/>
          <w:lang w:val="uk-UA"/>
        </w:rPr>
        <w:t>ий</w:t>
      </w:r>
      <w:r w:rsidR="00764B93">
        <w:rPr>
          <w:bCs/>
          <w:color w:val="000000"/>
          <w:sz w:val="28"/>
          <w:szCs w:val="28"/>
          <w:lang w:val="uk-UA"/>
        </w:rPr>
        <w:t xml:space="preserve"> акт спрямований на:</w:t>
      </w:r>
    </w:p>
    <w:p w:rsidR="00CA2B1E" w:rsidRPr="00175422" w:rsidRDefault="00CA2B1E" w:rsidP="00D03F73">
      <w:pPr>
        <w:ind w:firstLine="709"/>
        <w:jc w:val="both"/>
        <w:rPr>
          <w:sz w:val="28"/>
          <w:szCs w:val="28"/>
          <w:lang w:val="uk-UA"/>
        </w:rPr>
      </w:pPr>
      <w:r w:rsidRPr="00175422">
        <w:rPr>
          <w:rStyle w:val="apple-style-span"/>
          <w:sz w:val="28"/>
          <w:szCs w:val="28"/>
          <w:lang w:val="uk-UA"/>
        </w:rPr>
        <w:t xml:space="preserve">– </w:t>
      </w:r>
      <w:r w:rsidRPr="00175422">
        <w:rPr>
          <w:bCs/>
          <w:sz w:val="28"/>
          <w:szCs w:val="28"/>
          <w:lang w:val="uk-UA" w:eastAsia="ar-SA"/>
        </w:rPr>
        <w:t xml:space="preserve">встановлення основних умов та принципів взаємодії органів місцевого самоврядування та співвласників багатоквартирних будинків у проведенні </w:t>
      </w:r>
      <w:r w:rsidRPr="00175422">
        <w:rPr>
          <w:sz w:val="28"/>
          <w:szCs w:val="28"/>
          <w:lang w:val="uk-UA"/>
        </w:rPr>
        <w:t xml:space="preserve">робіт </w:t>
      </w:r>
      <w:r w:rsidR="00D03F73">
        <w:rPr>
          <w:sz w:val="28"/>
          <w:szCs w:val="28"/>
          <w:lang w:val="uk-UA"/>
        </w:rPr>
        <w:t xml:space="preserve">поточного та </w:t>
      </w:r>
      <w:r w:rsidRPr="00175422">
        <w:rPr>
          <w:sz w:val="28"/>
          <w:szCs w:val="28"/>
          <w:lang w:val="uk-UA"/>
        </w:rPr>
        <w:t>капітального ремонт</w:t>
      </w:r>
      <w:r w:rsidR="00D03F73">
        <w:rPr>
          <w:sz w:val="28"/>
          <w:szCs w:val="28"/>
          <w:lang w:val="uk-UA"/>
        </w:rPr>
        <w:t>ів</w:t>
      </w:r>
      <w:r w:rsidRPr="00175422">
        <w:rPr>
          <w:sz w:val="28"/>
          <w:szCs w:val="28"/>
          <w:lang w:val="uk-UA"/>
        </w:rPr>
        <w:t xml:space="preserve"> (реконструкції, модернізації) житлового фонду</w:t>
      </w:r>
      <w:r>
        <w:rPr>
          <w:sz w:val="28"/>
          <w:szCs w:val="28"/>
          <w:lang w:val="uk-UA"/>
        </w:rPr>
        <w:t xml:space="preserve"> територіальної громади м. Суми;</w:t>
      </w:r>
    </w:p>
    <w:p w:rsidR="00CA2B1E" w:rsidRPr="00175422" w:rsidRDefault="00CA2B1E" w:rsidP="00D03F73">
      <w:pPr>
        <w:ind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>– визначення механізму залучення коштів міського бюджету на фінансування проведення робіт капітального ремонт</w:t>
      </w:r>
      <w:r>
        <w:rPr>
          <w:sz w:val="28"/>
          <w:szCs w:val="28"/>
          <w:lang w:val="uk-UA"/>
        </w:rPr>
        <w:t>у</w:t>
      </w:r>
      <w:r w:rsidRPr="00175422">
        <w:rPr>
          <w:sz w:val="28"/>
          <w:szCs w:val="28"/>
          <w:lang w:val="uk-UA"/>
        </w:rPr>
        <w:t xml:space="preserve"> (реконструкції, модернізації) в багатоква</w:t>
      </w:r>
      <w:r>
        <w:rPr>
          <w:sz w:val="28"/>
          <w:szCs w:val="28"/>
          <w:lang w:val="uk-UA"/>
        </w:rPr>
        <w:t>ртирних будинках м. Суми;</w:t>
      </w:r>
    </w:p>
    <w:p w:rsidR="00CA2B1E" w:rsidRPr="00175422" w:rsidRDefault="00CA2B1E" w:rsidP="00D03F73">
      <w:pPr>
        <w:ind w:firstLine="709"/>
        <w:jc w:val="both"/>
        <w:rPr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 xml:space="preserve">– порядок надання фінансової підтримки співвласникам багатоквартирних будинків при проведенні ремонтних робіт капітального характеру у багатоквартирних житлових будинках територіальної громади </w:t>
      </w:r>
      <w:r>
        <w:rPr>
          <w:sz w:val="28"/>
          <w:szCs w:val="28"/>
          <w:lang w:val="uk-UA"/>
        </w:rPr>
        <w:t>м. Суми;</w:t>
      </w:r>
    </w:p>
    <w:p w:rsidR="00CA2B1E" w:rsidRDefault="00CA2B1E" w:rsidP="00D03F73">
      <w:pPr>
        <w:ind w:firstLine="709"/>
        <w:jc w:val="both"/>
        <w:rPr>
          <w:sz w:val="28"/>
          <w:szCs w:val="28"/>
          <w:lang w:val="uk-UA"/>
        </w:rPr>
      </w:pPr>
      <w:r w:rsidRPr="00175422">
        <w:rPr>
          <w:sz w:val="28"/>
          <w:szCs w:val="28"/>
          <w:lang w:val="uk-UA"/>
        </w:rPr>
        <w:t xml:space="preserve">– забезпечення участі співвласників багатоквартирного будинку у загальних витратах, пов’язаних з утриманням будинку і прибудинкової території відповідно до своєї частки майна у будинку. </w:t>
      </w:r>
    </w:p>
    <w:p w:rsidR="00DE1EF5" w:rsidRPr="00175422" w:rsidRDefault="00DE1EF5" w:rsidP="00D03F73">
      <w:pPr>
        <w:ind w:firstLine="709"/>
        <w:jc w:val="both"/>
        <w:rPr>
          <w:sz w:val="28"/>
          <w:szCs w:val="28"/>
          <w:lang w:val="uk-UA"/>
        </w:rPr>
      </w:pPr>
    </w:p>
    <w:p w:rsidR="00764B93" w:rsidRDefault="00764B93" w:rsidP="00D03F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DE1EF5">
        <w:rPr>
          <w:b/>
          <w:sz w:val="28"/>
          <w:szCs w:val="28"/>
          <w:lang w:val="uk-UA"/>
        </w:rPr>
        <w:t>:</w:t>
      </w:r>
    </w:p>
    <w:p w:rsidR="00764B93" w:rsidRPr="00876766" w:rsidRDefault="008A2318" w:rsidP="00D03F73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876766">
        <w:rPr>
          <w:sz w:val="28"/>
          <w:szCs w:val="28"/>
          <w:lang w:val="uk-UA"/>
        </w:rPr>
        <w:t>0</w:t>
      </w:r>
      <w:r w:rsidR="000E6417" w:rsidRPr="00876766">
        <w:rPr>
          <w:sz w:val="28"/>
          <w:szCs w:val="28"/>
          <w:lang w:val="uk-UA"/>
        </w:rPr>
        <w:t>1</w:t>
      </w:r>
      <w:r w:rsidR="00764B93" w:rsidRPr="00876766">
        <w:rPr>
          <w:sz w:val="28"/>
          <w:szCs w:val="28"/>
          <w:lang w:val="uk-UA"/>
        </w:rPr>
        <w:t>.</w:t>
      </w:r>
      <w:r w:rsidR="008B0BF7" w:rsidRPr="00876766">
        <w:rPr>
          <w:sz w:val="28"/>
          <w:szCs w:val="28"/>
          <w:lang w:val="uk-UA"/>
        </w:rPr>
        <w:t>11</w:t>
      </w:r>
      <w:r w:rsidR="00764B93" w:rsidRPr="00876766">
        <w:rPr>
          <w:sz w:val="28"/>
          <w:szCs w:val="28"/>
          <w:lang w:val="uk-UA"/>
        </w:rPr>
        <w:t>.201</w:t>
      </w:r>
      <w:r w:rsidR="008B0BF7" w:rsidRPr="00876766">
        <w:rPr>
          <w:sz w:val="28"/>
          <w:szCs w:val="28"/>
          <w:lang w:val="uk-UA"/>
        </w:rPr>
        <w:t>9</w:t>
      </w:r>
      <w:r w:rsidR="00764B93" w:rsidRPr="00876766">
        <w:rPr>
          <w:sz w:val="28"/>
          <w:szCs w:val="28"/>
          <w:lang w:val="uk-UA"/>
        </w:rPr>
        <w:t xml:space="preserve"> </w:t>
      </w:r>
      <w:r w:rsidR="00D03F73" w:rsidRPr="00876766">
        <w:rPr>
          <w:sz w:val="28"/>
          <w:szCs w:val="28"/>
          <w:lang w:val="uk-UA"/>
        </w:rPr>
        <w:t>−</w:t>
      </w:r>
      <w:r w:rsidR="00764B93" w:rsidRPr="00876766">
        <w:rPr>
          <w:sz w:val="28"/>
          <w:szCs w:val="28"/>
          <w:lang w:val="uk-UA"/>
        </w:rPr>
        <w:t xml:space="preserve"> </w:t>
      </w:r>
      <w:r w:rsidR="000E6417" w:rsidRPr="00876766">
        <w:rPr>
          <w:sz w:val="28"/>
          <w:szCs w:val="28"/>
          <w:lang w:val="uk-UA"/>
        </w:rPr>
        <w:t>3</w:t>
      </w:r>
      <w:r w:rsidR="00426FB2" w:rsidRPr="00876766">
        <w:rPr>
          <w:sz w:val="28"/>
          <w:szCs w:val="28"/>
          <w:lang w:val="uk-UA"/>
        </w:rPr>
        <w:t>1</w:t>
      </w:r>
      <w:r w:rsidR="00764B93" w:rsidRPr="00876766">
        <w:rPr>
          <w:sz w:val="28"/>
          <w:szCs w:val="28"/>
          <w:lang w:val="uk-UA"/>
        </w:rPr>
        <w:t>.</w:t>
      </w:r>
      <w:r w:rsidRPr="00876766">
        <w:rPr>
          <w:sz w:val="28"/>
          <w:szCs w:val="28"/>
          <w:lang w:val="uk-UA"/>
        </w:rPr>
        <w:t>1</w:t>
      </w:r>
      <w:r w:rsidR="00426FB2" w:rsidRPr="00876766">
        <w:rPr>
          <w:sz w:val="28"/>
          <w:szCs w:val="28"/>
          <w:lang w:val="uk-UA"/>
        </w:rPr>
        <w:t>1</w:t>
      </w:r>
      <w:r w:rsidR="00764B93" w:rsidRPr="00876766">
        <w:rPr>
          <w:sz w:val="28"/>
          <w:szCs w:val="28"/>
          <w:lang w:val="uk-UA"/>
        </w:rPr>
        <w:t>.201</w:t>
      </w:r>
      <w:r w:rsidR="00356296" w:rsidRPr="00876766">
        <w:rPr>
          <w:sz w:val="28"/>
          <w:szCs w:val="28"/>
          <w:lang w:val="uk-UA"/>
        </w:rPr>
        <w:t>9</w:t>
      </w:r>
      <w:r w:rsidR="00764B93" w:rsidRPr="00876766">
        <w:rPr>
          <w:sz w:val="28"/>
          <w:szCs w:val="28"/>
          <w:lang w:val="uk-UA"/>
        </w:rPr>
        <w:t>.</w:t>
      </w:r>
    </w:p>
    <w:p w:rsidR="00DE1EF5" w:rsidRPr="00426FB2" w:rsidRDefault="00DE1EF5" w:rsidP="00D03F73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64B93" w:rsidRDefault="00764B93" w:rsidP="00D03F7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 xml:space="preserve">Тип відстеження (базове, </w:t>
      </w:r>
      <w:r w:rsidR="00356296">
        <w:rPr>
          <w:b/>
          <w:iCs/>
          <w:color w:val="000000"/>
          <w:sz w:val="28"/>
          <w:szCs w:val="28"/>
          <w:lang w:val="uk-UA"/>
        </w:rPr>
        <w:t>періодичне</w:t>
      </w:r>
      <w:r>
        <w:rPr>
          <w:b/>
          <w:iCs/>
          <w:color w:val="000000"/>
          <w:sz w:val="28"/>
          <w:szCs w:val="28"/>
          <w:lang w:val="uk-UA"/>
        </w:rPr>
        <w:t xml:space="preserve"> або періодичне)</w:t>
      </w:r>
      <w:r w:rsidR="00DE1EF5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356296" w:rsidP="00D03F7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Періодичне</w:t>
      </w:r>
      <w:r w:rsidR="00764B93">
        <w:rPr>
          <w:color w:val="000000"/>
          <w:sz w:val="28"/>
          <w:szCs w:val="28"/>
          <w:lang w:val="uk-UA"/>
        </w:rPr>
        <w:t xml:space="preserve"> відстеження.</w:t>
      </w:r>
    </w:p>
    <w:p w:rsidR="00DE1EF5" w:rsidRDefault="00DE1EF5" w:rsidP="00D03F7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4B93" w:rsidRDefault="00764B93" w:rsidP="00D03F7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DE1EF5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D03F7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DE1EF5" w:rsidRDefault="00DE1EF5" w:rsidP="00D03F73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4B93" w:rsidRDefault="00764B93" w:rsidP="00D03F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DE1EF5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097C5B" w:rsidRPr="00876766" w:rsidRDefault="00356296" w:rsidP="00097C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097C5B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відстеження результативності рішення </w:t>
      </w:r>
      <w:r w:rsidR="00D03F73">
        <w:rPr>
          <w:sz w:val="28"/>
          <w:szCs w:val="28"/>
          <w:lang w:val="uk-UA"/>
        </w:rPr>
        <w:t xml:space="preserve">Сумської міської ради </w:t>
      </w:r>
      <w:r w:rsidR="00097C5B" w:rsidRPr="00CA2B1E">
        <w:rPr>
          <w:sz w:val="28"/>
          <w:szCs w:val="28"/>
          <w:lang w:val="uk-UA"/>
        </w:rPr>
        <w:t>від 05</w:t>
      </w:r>
      <w:r w:rsidR="00097C5B">
        <w:rPr>
          <w:sz w:val="28"/>
          <w:szCs w:val="28"/>
          <w:lang w:val="uk-UA"/>
        </w:rPr>
        <w:t xml:space="preserve"> </w:t>
      </w:r>
      <w:r w:rsidR="00097C5B" w:rsidRPr="00CA2B1E">
        <w:rPr>
          <w:sz w:val="28"/>
          <w:szCs w:val="28"/>
          <w:lang w:val="uk-UA"/>
        </w:rPr>
        <w:t>жовтня 2016 року №</w:t>
      </w:r>
      <w:r w:rsidR="00DE1EF5">
        <w:rPr>
          <w:sz w:val="28"/>
          <w:szCs w:val="28"/>
          <w:lang w:val="uk-UA"/>
        </w:rPr>
        <w:t xml:space="preserve"> </w:t>
      </w:r>
      <w:r w:rsidR="00097C5B" w:rsidRPr="00CA2B1E">
        <w:rPr>
          <w:sz w:val="28"/>
          <w:szCs w:val="28"/>
          <w:lang w:val="uk-UA"/>
        </w:rPr>
        <w:t xml:space="preserve">1162-МР </w:t>
      </w:r>
      <w:r w:rsidR="008A2318" w:rsidRPr="00CA2B1E">
        <w:rPr>
          <w:sz w:val="28"/>
          <w:szCs w:val="28"/>
          <w:lang w:val="uk-UA"/>
        </w:rPr>
        <w:t>«</w:t>
      </w:r>
      <w:r w:rsidR="008A2318" w:rsidRPr="00CA2B1E">
        <w:rPr>
          <w:rStyle w:val="a4"/>
          <w:b w:val="0"/>
          <w:sz w:val="28"/>
          <w:szCs w:val="28"/>
          <w:lang w:val="uk-UA"/>
        </w:rPr>
        <w:t xml:space="preserve">Про затвердження Положення </w:t>
      </w:r>
      <w:r w:rsidR="008A2318" w:rsidRPr="00097C5B">
        <w:rPr>
          <w:sz w:val="28"/>
          <w:szCs w:val="28"/>
          <w:lang w:val="uk-UA"/>
        </w:rPr>
        <w:t xml:space="preserve">про </w:t>
      </w:r>
      <w:r w:rsidR="008A2318" w:rsidRPr="00CA2B1E">
        <w:rPr>
          <w:sz w:val="28"/>
          <w:szCs w:val="28"/>
          <w:lang w:val="uk-UA"/>
        </w:rPr>
        <w:t xml:space="preserve">дольову </w:t>
      </w:r>
      <w:r w:rsidR="008A2318" w:rsidRPr="00CA2B1E">
        <w:rPr>
          <w:sz w:val="28"/>
          <w:szCs w:val="28"/>
          <w:lang w:val="uk-UA"/>
        </w:rPr>
        <w:lastRenderedPageBreak/>
        <w:t>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="008A2318" w:rsidRPr="008A2318">
        <w:rPr>
          <w:rStyle w:val="a4"/>
          <w:b w:val="0"/>
          <w:sz w:val="28"/>
          <w:szCs w:val="28"/>
          <w:lang w:val="uk-UA"/>
        </w:rPr>
        <w:t>»</w:t>
      </w:r>
      <w:r w:rsidR="008A2318">
        <w:rPr>
          <w:rStyle w:val="a4"/>
          <w:b w:val="0"/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здійснювалося шляхом аналізу </w:t>
      </w:r>
      <w:r w:rsidR="00764B93" w:rsidRPr="006B76A0">
        <w:rPr>
          <w:sz w:val="28"/>
          <w:szCs w:val="28"/>
          <w:lang w:val="uk-UA"/>
        </w:rPr>
        <w:t xml:space="preserve">кількості </w:t>
      </w:r>
      <w:r w:rsidR="008A2318" w:rsidRPr="006B76A0">
        <w:rPr>
          <w:sz w:val="28"/>
          <w:szCs w:val="28"/>
          <w:lang w:val="uk-UA"/>
        </w:rPr>
        <w:t>заявок (пропозицій) на дольову участь щодо проведення капітального ремонту у багатоквартирному будинку</w:t>
      </w:r>
      <w:r w:rsidR="006B76A0" w:rsidRPr="006B76A0">
        <w:rPr>
          <w:sz w:val="28"/>
          <w:szCs w:val="28"/>
          <w:lang w:val="uk-UA"/>
        </w:rPr>
        <w:t xml:space="preserve">; </w:t>
      </w:r>
      <w:r w:rsidR="00097C5B" w:rsidRPr="00E44442">
        <w:rPr>
          <w:sz w:val="28"/>
          <w:szCs w:val="28"/>
          <w:lang w:val="uk-UA"/>
        </w:rPr>
        <w:t>кількість укладених договорів про співробітництво;</w:t>
      </w:r>
      <w:r w:rsidR="00097C5B">
        <w:rPr>
          <w:sz w:val="28"/>
          <w:szCs w:val="28"/>
          <w:lang w:val="uk-UA"/>
        </w:rPr>
        <w:t xml:space="preserve"> кількість об’єктів, у яких проведено капітальний ремон</w:t>
      </w:r>
      <w:r w:rsidR="008B0BF7">
        <w:rPr>
          <w:sz w:val="28"/>
          <w:szCs w:val="28"/>
          <w:lang w:val="uk-UA"/>
        </w:rPr>
        <w:t xml:space="preserve">т на умовах дольової участі було проведено за період з </w:t>
      </w:r>
      <w:r w:rsidR="008B0BF7" w:rsidRPr="00876766">
        <w:rPr>
          <w:sz w:val="28"/>
          <w:szCs w:val="28"/>
          <w:lang w:val="uk-UA"/>
        </w:rPr>
        <w:t>01.01.2018 − 31.11.2019.</w:t>
      </w:r>
    </w:p>
    <w:p w:rsidR="00764B93" w:rsidRDefault="00764B93" w:rsidP="00D03F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lang w:val="uk-UA"/>
        </w:rPr>
      </w:pPr>
    </w:p>
    <w:p w:rsidR="00C64CE8" w:rsidRPr="0040194F" w:rsidRDefault="00C64CE8" w:rsidP="00D03F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lang w:val="uk-UA"/>
        </w:rPr>
      </w:pPr>
    </w:p>
    <w:p w:rsidR="00764B93" w:rsidRDefault="00764B93" w:rsidP="00D03F7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  <w:r w:rsidR="00DE1EF5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DE1EF5" w:rsidRDefault="00DE1EF5" w:rsidP="00D03F7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tbl>
      <w:tblPr>
        <w:tblStyle w:val="a9"/>
        <w:tblW w:w="9955" w:type="dxa"/>
        <w:tblInd w:w="-5" w:type="dxa"/>
        <w:tblLook w:val="04A0" w:firstRow="1" w:lastRow="0" w:firstColumn="1" w:lastColumn="0" w:noHBand="0" w:noVBand="1"/>
      </w:tblPr>
      <w:tblGrid>
        <w:gridCol w:w="781"/>
        <w:gridCol w:w="4889"/>
        <w:gridCol w:w="2127"/>
        <w:gridCol w:w="2158"/>
      </w:tblGrid>
      <w:tr w:rsidR="00426FB2" w:rsidTr="00C64CE8">
        <w:trPr>
          <w:trHeight w:val="535"/>
        </w:trPr>
        <w:tc>
          <w:tcPr>
            <w:tcW w:w="781" w:type="dxa"/>
            <w:vAlign w:val="center"/>
          </w:tcPr>
          <w:p w:rsidR="00426FB2" w:rsidRPr="00DE1EF5" w:rsidRDefault="00426FB2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№ п/п</w:t>
            </w:r>
          </w:p>
        </w:tc>
        <w:tc>
          <w:tcPr>
            <w:tcW w:w="4889" w:type="dxa"/>
            <w:vAlign w:val="center"/>
          </w:tcPr>
          <w:p w:rsidR="00426FB2" w:rsidRPr="00DE1EF5" w:rsidRDefault="00426FB2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Показники результативності</w:t>
            </w:r>
          </w:p>
        </w:tc>
        <w:tc>
          <w:tcPr>
            <w:tcW w:w="2127" w:type="dxa"/>
            <w:vAlign w:val="center"/>
          </w:tcPr>
          <w:p w:rsidR="00426FB2" w:rsidRPr="00DE1EF5" w:rsidRDefault="00426FB2" w:rsidP="00426FB2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01.01.2018 − 31.12.2018</w:t>
            </w:r>
          </w:p>
        </w:tc>
        <w:tc>
          <w:tcPr>
            <w:tcW w:w="2158" w:type="dxa"/>
          </w:tcPr>
          <w:p w:rsidR="00426FB2" w:rsidRPr="00DE1EF5" w:rsidRDefault="00426FB2" w:rsidP="00426FB2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01.01.2019 − 31.11.2018</w:t>
            </w:r>
          </w:p>
        </w:tc>
      </w:tr>
      <w:tr w:rsidR="00426FB2" w:rsidTr="00C64CE8">
        <w:trPr>
          <w:trHeight w:val="1197"/>
        </w:trPr>
        <w:tc>
          <w:tcPr>
            <w:tcW w:w="781" w:type="dxa"/>
          </w:tcPr>
          <w:p w:rsidR="00426FB2" w:rsidRPr="00DE1EF5" w:rsidRDefault="00426FB2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1</w:t>
            </w:r>
          </w:p>
        </w:tc>
        <w:tc>
          <w:tcPr>
            <w:tcW w:w="4889" w:type="dxa"/>
          </w:tcPr>
          <w:p w:rsidR="00426FB2" w:rsidRPr="00DE1EF5" w:rsidRDefault="00426FB2" w:rsidP="00097C5B">
            <w:pPr>
              <w:jc w:val="both"/>
              <w:rPr>
                <w:lang w:val="uk-UA"/>
              </w:rPr>
            </w:pPr>
            <w:r w:rsidRPr="00DE1EF5">
              <w:rPr>
                <w:lang w:val="uk-UA"/>
              </w:rPr>
              <w:t>Кількість отриманих заявок (пропозицій) на дольову участь щодо проведення капітального ремонту у багатоквартирному будинку</w:t>
            </w:r>
          </w:p>
        </w:tc>
        <w:tc>
          <w:tcPr>
            <w:tcW w:w="2127" w:type="dxa"/>
            <w:vAlign w:val="center"/>
          </w:tcPr>
          <w:p w:rsidR="00426FB2" w:rsidRPr="00DE1EF5" w:rsidRDefault="00426FB2" w:rsidP="001E611C">
            <w:pPr>
              <w:jc w:val="center"/>
              <w:rPr>
                <w:highlight w:val="yellow"/>
                <w:lang w:val="uk-UA"/>
              </w:rPr>
            </w:pPr>
            <w:r w:rsidRPr="00DE1EF5">
              <w:rPr>
                <w:lang w:val="uk-UA"/>
              </w:rPr>
              <w:t>28</w:t>
            </w:r>
          </w:p>
        </w:tc>
        <w:tc>
          <w:tcPr>
            <w:tcW w:w="2158" w:type="dxa"/>
            <w:vAlign w:val="center"/>
          </w:tcPr>
          <w:p w:rsidR="00426FB2" w:rsidRPr="00DE1EF5" w:rsidRDefault="00426FB2" w:rsidP="001E611C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15</w:t>
            </w:r>
          </w:p>
        </w:tc>
      </w:tr>
      <w:tr w:rsidR="00426FB2" w:rsidTr="00C64CE8">
        <w:trPr>
          <w:trHeight w:val="597"/>
        </w:trPr>
        <w:tc>
          <w:tcPr>
            <w:tcW w:w="781" w:type="dxa"/>
          </w:tcPr>
          <w:p w:rsidR="00426FB2" w:rsidRPr="00DE1EF5" w:rsidRDefault="00426FB2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2</w:t>
            </w:r>
          </w:p>
        </w:tc>
        <w:tc>
          <w:tcPr>
            <w:tcW w:w="4889" w:type="dxa"/>
          </w:tcPr>
          <w:p w:rsidR="00426FB2" w:rsidRPr="00DE1EF5" w:rsidRDefault="00426FB2" w:rsidP="00097C5B">
            <w:pPr>
              <w:jc w:val="both"/>
              <w:rPr>
                <w:lang w:val="uk-UA"/>
              </w:rPr>
            </w:pPr>
            <w:r w:rsidRPr="00DE1EF5">
              <w:rPr>
                <w:lang w:val="uk-UA"/>
              </w:rPr>
              <w:t>Кількість укладених договорів про співробітництво</w:t>
            </w:r>
          </w:p>
        </w:tc>
        <w:tc>
          <w:tcPr>
            <w:tcW w:w="2127" w:type="dxa"/>
            <w:vAlign w:val="center"/>
          </w:tcPr>
          <w:p w:rsidR="00426FB2" w:rsidRPr="00DE1EF5" w:rsidRDefault="00426FB2" w:rsidP="00426FB2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18</w:t>
            </w:r>
          </w:p>
        </w:tc>
        <w:tc>
          <w:tcPr>
            <w:tcW w:w="2158" w:type="dxa"/>
            <w:vAlign w:val="center"/>
          </w:tcPr>
          <w:p w:rsidR="00426FB2" w:rsidRPr="00DE1EF5" w:rsidRDefault="001B49E4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23</w:t>
            </w:r>
          </w:p>
        </w:tc>
      </w:tr>
      <w:tr w:rsidR="00426FB2" w:rsidTr="00C64CE8">
        <w:trPr>
          <w:trHeight w:val="925"/>
        </w:trPr>
        <w:tc>
          <w:tcPr>
            <w:tcW w:w="781" w:type="dxa"/>
          </w:tcPr>
          <w:p w:rsidR="00426FB2" w:rsidRPr="00DE1EF5" w:rsidRDefault="00426FB2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3</w:t>
            </w:r>
          </w:p>
        </w:tc>
        <w:tc>
          <w:tcPr>
            <w:tcW w:w="4889" w:type="dxa"/>
          </w:tcPr>
          <w:p w:rsidR="00426FB2" w:rsidRPr="00DE1EF5" w:rsidRDefault="00426FB2" w:rsidP="00EC364D">
            <w:pPr>
              <w:jc w:val="both"/>
              <w:rPr>
                <w:lang w:val="uk-UA"/>
              </w:rPr>
            </w:pPr>
            <w:r w:rsidRPr="00DE1EF5">
              <w:rPr>
                <w:rStyle w:val="rvts15"/>
                <w:bCs/>
                <w:bdr w:val="none" w:sz="0" w:space="0" w:color="auto" w:frame="1"/>
                <w:lang w:val="uk-UA" w:bidi="th-TH"/>
              </w:rPr>
              <w:t xml:space="preserve">Кількість об’єктів у </w:t>
            </w:r>
            <w:r w:rsidRPr="00DE1EF5">
              <w:rPr>
                <w:lang w:val="uk-UA"/>
              </w:rPr>
              <w:t>яких проведено капітальний ремонт на умовах дольової участі</w:t>
            </w:r>
          </w:p>
        </w:tc>
        <w:tc>
          <w:tcPr>
            <w:tcW w:w="2127" w:type="dxa"/>
            <w:vAlign w:val="center"/>
          </w:tcPr>
          <w:p w:rsidR="00426FB2" w:rsidRPr="00DE1EF5" w:rsidRDefault="00426FB2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15</w:t>
            </w:r>
          </w:p>
        </w:tc>
        <w:tc>
          <w:tcPr>
            <w:tcW w:w="2158" w:type="dxa"/>
            <w:vAlign w:val="center"/>
          </w:tcPr>
          <w:p w:rsidR="00426FB2" w:rsidRPr="00DE1EF5" w:rsidRDefault="005846AB" w:rsidP="00EC364D">
            <w:pPr>
              <w:jc w:val="center"/>
              <w:rPr>
                <w:lang w:val="uk-UA"/>
              </w:rPr>
            </w:pPr>
            <w:r w:rsidRPr="00DE1EF5">
              <w:rPr>
                <w:lang w:val="uk-UA"/>
              </w:rPr>
              <w:t>22</w:t>
            </w:r>
          </w:p>
        </w:tc>
      </w:tr>
    </w:tbl>
    <w:p w:rsidR="00DE1EF5" w:rsidRDefault="00DE1EF5" w:rsidP="00D03F73">
      <w:pPr>
        <w:ind w:firstLine="709"/>
        <w:jc w:val="both"/>
        <w:rPr>
          <w:sz w:val="28"/>
          <w:szCs w:val="28"/>
          <w:lang w:val="uk-UA"/>
        </w:rPr>
      </w:pPr>
    </w:p>
    <w:p w:rsidR="00334B8A" w:rsidRPr="00175422" w:rsidRDefault="00764B93" w:rsidP="00D03F73">
      <w:pPr>
        <w:ind w:firstLine="709"/>
        <w:jc w:val="both"/>
        <w:rPr>
          <w:sz w:val="28"/>
          <w:szCs w:val="28"/>
          <w:lang w:val="uk-UA"/>
        </w:rPr>
      </w:pPr>
      <w:r w:rsidRPr="00334B8A">
        <w:rPr>
          <w:sz w:val="28"/>
          <w:szCs w:val="28"/>
          <w:lang w:val="uk-UA"/>
        </w:rPr>
        <w:t>Якісн</w:t>
      </w:r>
      <w:r w:rsidR="00097C5B">
        <w:rPr>
          <w:sz w:val="28"/>
          <w:szCs w:val="28"/>
          <w:lang w:val="uk-UA"/>
        </w:rPr>
        <w:t>ими показниками</w:t>
      </w:r>
      <w:r w:rsidRPr="00334B8A">
        <w:rPr>
          <w:sz w:val="28"/>
          <w:szCs w:val="28"/>
          <w:lang w:val="uk-UA"/>
        </w:rPr>
        <w:t xml:space="preserve"> результативності акта </w:t>
      </w:r>
      <w:r w:rsidR="00097C5B">
        <w:rPr>
          <w:sz w:val="28"/>
          <w:szCs w:val="28"/>
          <w:lang w:val="uk-UA"/>
        </w:rPr>
        <w:t xml:space="preserve">є </w:t>
      </w:r>
      <w:r w:rsidR="00FC11E0" w:rsidRPr="00334B8A">
        <w:rPr>
          <w:sz w:val="28"/>
          <w:szCs w:val="28"/>
          <w:lang w:val="uk-UA"/>
        </w:rPr>
        <w:t xml:space="preserve">комплексне оновлення </w:t>
      </w:r>
      <w:proofErr w:type="spellStart"/>
      <w:r w:rsidR="00FC11E0" w:rsidRPr="00334B8A">
        <w:rPr>
          <w:color w:val="010000"/>
          <w:sz w:val="28"/>
          <w:szCs w:val="28"/>
          <w:lang w:val="uk-UA"/>
        </w:rPr>
        <w:t>внутрішньобудинкових</w:t>
      </w:r>
      <w:proofErr w:type="spellEnd"/>
      <w:r w:rsidR="00FC11E0" w:rsidRPr="00334B8A">
        <w:rPr>
          <w:color w:val="010000"/>
          <w:sz w:val="28"/>
          <w:szCs w:val="28"/>
          <w:lang w:val="uk-UA"/>
        </w:rPr>
        <w:t xml:space="preserve"> мереж та конструктивних елементів багатоквартирних будинків міста,</w:t>
      </w:r>
      <w:r w:rsidR="00FC11E0" w:rsidRPr="00334B8A">
        <w:rPr>
          <w:sz w:val="28"/>
          <w:szCs w:val="28"/>
          <w:lang w:val="uk-UA"/>
        </w:rPr>
        <w:t xml:space="preserve"> забезпечення участі співвласників багатоквартирного будинку у загальних витратах, пов’язаних з утриманням будинку і прибудинкової території, а саме проведенням робіт капітального ремонту (реконструкції, модернізації) в багатоквартирних будинках.</w:t>
      </w:r>
      <w:r w:rsidR="00334B8A">
        <w:rPr>
          <w:sz w:val="28"/>
          <w:szCs w:val="28"/>
          <w:lang w:val="uk-UA"/>
        </w:rPr>
        <w:t xml:space="preserve"> </w:t>
      </w:r>
    </w:p>
    <w:p w:rsidR="00764B93" w:rsidRPr="0040194F" w:rsidRDefault="00764B93" w:rsidP="00D03F7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pacing w:val="-3"/>
          <w:lang w:val="uk-UA"/>
        </w:rPr>
      </w:pPr>
    </w:p>
    <w:p w:rsidR="00764B93" w:rsidRDefault="00764B93" w:rsidP="00D03F7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5D3A5F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DE1EF5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7679B" w:rsidRPr="00175422" w:rsidRDefault="0057679B" w:rsidP="0057679B">
      <w:pPr>
        <w:ind w:firstLine="709"/>
        <w:jc w:val="both"/>
        <w:rPr>
          <w:color w:val="01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регуляторний акт </w:t>
      </w:r>
      <w:r w:rsidRPr="00175422">
        <w:rPr>
          <w:sz w:val="28"/>
          <w:szCs w:val="28"/>
          <w:lang w:val="uk-UA"/>
        </w:rPr>
        <w:t>дозволи</w:t>
      </w:r>
      <w:r>
        <w:rPr>
          <w:sz w:val="28"/>
          <w:szCs w:val="28"/>
          <w:lang w:val="uk-UA"/>
        </w:rPr>
        <w:t>в</w:t>
      </w:r>
      <w:r w:rsidRPr="00175422">
        <w:rPr>
          <w:sz w:val="28"/>
          <w:szCs w:val="28"/>
          <w:lang w:val="uk-UA"/>
        </w:rPr>
        <w:t xml:space="preserve"> </w:t>
      </w:r>
      <w:r w:rsidRPr="00175422">
        <w:rPr>
          <w:color w:val="010000"/>
          <w:sz w:val="28"/>
          <w:szCs w:val="28"/>
          <w:lang w:val="uk-UA"/>
        </w:rPr>
        <w:t xml:space="preserve">безпосередньо надавати фінансову підтримку населенню у </w:t>
      </w:r>
      <w:r w:rsidRPr="00175422">
        <w:rPr>
          <w:bCs/>
          <w:sz w:val="28"/>
          <w:szCs w:val="28"/>
          <w:lang w:val="uk-UA" w:eastAsia="ar-SA"/>
        </w:rPr>
        <w:t xml:space="preserve">проведенні </w:t>
      </w:r>
      <w:r w:rsidRPr="00175422">
        <w:rPr>
          <w:sz w:val="28"/>
          <w:szCs w:val="28"/>
          <w:lang w:val="uk-UA"/>
        </w:rPr>
        <w:t xml:space="preserve">робіт капітального </w:t>
      </w:r>
      <w:r>
        <w:rPr>
          <w:sz w:val="28"/>
          <w:szCs w:val="28"/>
          <w:lang w:val="uk-UA"/>
        </w:rPr>
        <w:t>ремонту</w:t>
      </w:r>
      <w:r w:rsidRPr="00175422">
        <w:rPr>
          <w:sz w:val="28"/>
          <w:szCs w:val="28"/>
          <w:lang w:val="uk-UA"/>
        </w:rPr>
        <w:t xml:space="preserve"> (реко</w:t>
      </w:r>
      <w:r>
        <w:rPr>
          <w:sz w:val="28"/>
          <w:szCs w:val="28"/>
          <w:lang w:val="uk-UA"/>
        </w:rPr>
        <w:t xml:space="preserve">нструкції, модернізації) </w:t>
      </w:r>
      <w:r w:rsidRPr="00175422">
        <w:rPr>
          <w:sz w:val="28"/>
          <w:szCs w:val="28"/>
          <w:lang w:val="uk-UA"/>
        </w:rPr>
        <w:t>житлового фонду територіальної громади м. Суми</w:t>
      </w:r>
      <w:r>
        <w:rPr>
          <w:sz w:val="28"/>
          <w:szCs w:val="28"/>
          <w:lang w:val="uk-UA"/>
        </w:rPr>
        <w:t>,</w:t>
      </w:r>
      <w:r w:rsidRPr="00175422">
        <w:rPr>
          <w:color w:val="010000"/>
          <w:sz w:val="28"/>
          <w:szCs w:val="28"/>
          <w:lang w:val="uk-UA"/>
        </w:rPr>
        <w:t xml:space="preserve"> в межах видатків передбачених в міському бюджеті</w:t>
      </w:r>
      <w:r>
        <w:rPr>
          <w:color w:val="010000"/>
          <w:sz w:val="28"/>
          <w:szCs w:val="28"/>
          <w:lang w:val="uk-UA"/>
        </w:rPr>
        <w:t xml:space="preserve"> та </w:t>
      </w:r>
      <w:r w:rsidRPr="006B76A0">
        <w:rPr>
          <w:sz w:val="28"/>
          <w:szCs w:val="28"/>
          <w:lang w:val="uk-UA"/>
        </w:rPr>
        <w:t>забезпечу</w:t>
      </w:r>
      <w:r>
        <w:rPr>
          <w:sz w:val="28"/>
          <w:szCs w:val="28"/>
          <w:lang w:val="uk-UA"/>
        </w:rPr>
        <w:t>є</w:t>
      </w:r>
      <w:r w:rsidRPr="00175422">
        <w:rPr>
          <w:sz w:val="28"/>
          <w:szCs w:val="28"/>
          <w:lang w:val="uk-UA"/>
        </w:rPr>
        <w:t xml:space="preserve"> участь співвласників багатоквартирного будинку у загальних витратах, пов’язаних з утриманням будинку і прибудинкової території відповідно до своєї частки майна у будинку</w:t>
      </w:r>
      <w:r>
        <w:rPr>
          <w:sz w:val="28"/>
          <w:szCs w:val="28"/>
          <w:lang w:val="uk-UA"/>
        </w:rPr>
        <w:t>.</w:t>
      </w:r>
    </w:p>
    <w:p w:rsidR="0057679B" w:rsidRDefault="0057679B" w:rsidP="0040194F">
      <w:pPr>
        <w:ind w:firstLine="709"/>
        <w:jc w:val="both"/>
        <w:rPr>
          <w:sz w:val="28"/>
          <w:szCs w:val="28"/>
          <w:lang w:val="uk-UA"/>
        </w:rPr>
      </w:pPr>
      <w:r>
        <w:rPr>
          <w:color w:val="010000"/>
          <w:sz w:val="28"/>
          <w:szCs w:val="28"/>
          <w:lang w:val="uk-UA"/>
        </w:rPr>
        <w:t xml:space="preserve">Реалізація регуляторного акта </w:t>
      </w:r>
      <w:r w:rsidR="00920425">
        <w:rPr>
          <w:color w:val="010000"/>
          <w:sz w:val="28"/>
          <w:szCs w:val="28"/>
          <w:lang w:val="uk-UA"/>
        </w:rPr>
        <w:t>дала змогу</w:t>
      </w:r>
      <w:r>
        <w:rPr>
          <w:color w:val="010000"/>
          <w:sz w:val="28"/>
          <w:szCs w:val="28"/>
          <w:lang w:val="uk-UA"/>
        </w:rPr>
        <w:t xml:space="preserve"> </w:t>
      </w:r>
      <w:r w:rsidRPr="00175422">
        <w:rPr>
          <w:color w:val="010000"/>
          <w:sz w:val="28"/>
          <w:szCs w:val="28"/>
          <w:lang w:val="uk-UA"/>
        </w:rPr>
        <w:t>к</w:t>
      </w:r>
      <w:r w:rsidRPr="00175422">
        <w:rPr>
          <w:sz w:val="28"/>
          <w:szCs w:val="28"/>
          <w:lang w:val="uk-UA"/>
        </w:rPr>
        <w:t xml:space="preserve">омплексно вирішити питання оновлення </w:t>
      </w:r>
      <w:proofErr w:type="spellStart"/>
      <w:r w:rsidRPr="00175422">
        <w:rPr>
          <w:color w:val="010000"/>
          <w:sz w:val="28"/>
          <w:szCs w:val="28"/>
          <w:lang w:val="uk-UA"/>
        </w:rPr>
        <w:t>внутрішньобудинкових</w:t>
      </w:r>
      <w:proofErr w:type="spellEnd"/>
      <w:r w:rsidRPr="00175422">
        <w:rPr>
          <w:color w:val="010000"/>
          <w:sz w:val="28"/>
          <w:szCs w:val="28"/>
          <w:lang w:val="uk-UA"/>
        </w:rPr>
        <w:t xml:space="preserve"> мереж та конструктивних елементів багатоквартирних будинків м. Суми.</w:t>
      </w:r>
    </w:p>
    <w:p w:rsidR="00A17BFE" w:rsidRDefault="00A17BFE" w:rsidP="00A17BFE">
      <w:pPr>
        <w:ind w:firstLine="709"/>
        <w:jc w:val="both"/>
        <w:rPr>
          <w:sz w:val="28"/>
          <w:szCs w:val="28"/>
          <w:lang w:val="uk-UA"/>
        </w:rPr>
      </w:pPr>
      <w:r w:rsidRPr="00A17BFE">
        <w:rPr>
          <w:sz w:val="28"/>
          <w:szCs w:val="28"/>
          <w:lang w:val="uk-UA"/>
        </w:rPr>
        <w:t xml:space="preserve">У зв’язку з приведенням у відповідність до вимог чинного законодавства питання щодо своєчасного проведення капітального ремонту багатоквартирних будинків м. Суми та покращення їх технічного стану на умовах </w:t>
      </w:r>
      <w:proofErr w:type="spellStart"/>
      <w:r w:rsidRPr="00A17BFE">
        <w:rPr>
          <w:sz w:val="28"/>
          <w:szCs w:val="28"/>
          <w:lang w:val="uk-UA"/>
        </w:rPr>
        <w:t>співфінансування</w:t>
      </w:r>
      <w:proofErr w:type="spellEnd"/>
      <w:r w:rsidRPr="00A17BFE">
        <w:rPr>
          <w:sz w:val="28"/>
          <w:szCs w:val="28"/>
          <w:lang w:val="uk-UA"/>
        </w:rPr>
        <w:t xml:space="preserve"> за рахунок коштів міського бюджету міста Суми та коштів співвласників багатоквартирних будинків </w:t>
      </w:r>
      <w:r w:rsidRPr="00DE1EF5">
        <w:rPr>
          <w:b/>
          <w:i/>
          <w:sz w:val="28"/>
          <w:szCs w:val="28"/>
          <w:lang w:val="uk-UA"/>
        </w:rPr>
        <w:t xml:space="preserve">розроблено </w:t>
      </w:r>
      <w:r w:rsidR="00972808" w:rsidRPr="00DA553B">
        <w:rPr>
          <w:i/>
          <w:sz w:val="28"/>
          <w:szCs w:val="28"/>
          <w:lang w:val="uk-UA"/>
        </w:rPr>
        <w:t>проект</w:t>
      </w:r>
      <w:r w:rsidR="00972808">
        <w:rPr>
          <w:sz w:val="28"/>
          <w:szCs w:val="28"/>
          <w:lang w:val="uk-UA"/>
        </w:rPr>
        <w:t xml:space="preserve"> </w:t>
      </w:r>
      <w:r w:rsidR="00972808" w:rsidRPr="00DA553B">
        <w:rPr>
          <w:i/>
          <w:sz w:val="28"/>
          <w:szCs w:val="28"/>
          <w:lang w:val="uk-UA"/>
        </w:rPr>
        <w:t>рішення Сумської міської ради</w:t>
      </w:r>
      <w:r w:rsidR="00972808">
        <w:rPr>
          <w:sz w:val="28"/>
          <w:szCs w:val="28"/>
          <w:lang w:val="uk-UA"/>
        </w:rPr>
        <w:t xml:space="preserve"> </w:t>
      </w:r>
      <w:r w:rsidR="00972808" w:rsidRPr="00DA553B">
        <w:rPr>
          <w:b/>
          <w:sz w:val="28"/>
          <w:szCs w:val="28"/>
          <w:lang w:val="uk-UA"/>
        </w:rPr>
        <w:t>«Про затвердження</w:t>
      </w:r>
      <w:r w:rsidRPr="00DA553B">
        <w:rPr>
          <w:b/>
          <w:sz w:val="28"/>
          <w:szCs w:val="28"/>
          <w:lang w:val="uk-UA"/>
        </w:rPr>
        <w:t xml:space="preserve"> Поряд</w:t>
      </w:r>
      <w:r w:rsidR="00972808" w:rsidRPr="00DA553B">
        <w:rPr>
          <w:b/>
          <w:sz w:val="28"/>
          <w:szCs w:val="28"/>
          <w:lang w:val="uk-UA"/>
        </w:rPr>
        <w:t>ку</w:t>
      </w:r>
      <w:r w:rsidRPr="00DA553B">
        <w:rPr>
          <w:b/>
          <w:sz w:val="28"/>
          <w:szCs w:val="28"/>
          <w:lang w:val="uk-UA"/>
        </w:rPr>
        <w:t xml:space="preserve"> використання бюджетних коштів для участі Сумської міської ради в організації та </w:t>
      </w:r>
      <w:proofErr w:type="spellStart"/>
      <w:r w:rsidRPr="00DA553B">
        <w:rPr>
          <w:b/>
          <w:sz w:val="28"/>
          <w:szCs w:val="28"/>
          <w:lang w:val="uk-UA"/>
        </w:rPr>
        <w:t>співфінансуванні</w:t>
      </w:r>
      <w:proofErr w:type="spellEnd"/>
      <w:r w:rsidRPr="00DA553B">
        <w:rPr>
          <w:b/>
          <w:sz w:val="28"/>
          <w:szCs w:val="28"/>
          <w:lang w:val="uk-UA"/>
        </w:rPr>
        <w:t xml:space="preserve"> капітального ремонту </w:t>
      </w:r>
      <w:r w:rsidRPr="00DA553B">
        <w:rPr>
          <w:b/>
          <w:sz w:val="28"/>
          <w:szCs w:val="28"/>
          <w:lang w:val="uk-UA"/>
        </w:rPr>
        <w:lastRenderedPageBreak/>
        <w:t>багатоквартирних будинків</w:t>
      </w:r>
      <w:r w:rsidR="00972808" w:rsidRPr="00DA553B">
        <w:rPr>
          <w:b/>
          <w:sz w:val="28"/>
          <w:szCs w:val="28"/>
          <w:lang w:val="uk-UA"/>
        </w:rPr>
        <w:t>»</w:t>
      </w:r>
      <w:r w:rsidRPr="00A17BF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Листом</w:t>
      </w:r>
      <w:r w:rsidR="00972808">
        <w:rPr>
          <w:sz w:val="28"/>
          <w:szCs w:val="28"/>
          <w:lang w:val="uk-UA"/>
        </w:rPr>
        <w:t xml:space="preserve"> від 21.03.2019 року № 1803/0/20-19 Державна регуляторна служба України зазначила, що дія Закону України «Про засади державної регуляторної політики у сфері господарської діяльності» не поширюється на вищевказаний проект рішення Сумської міської ради. </w:t>
      </w:r>
      <w:r w:rsidR="00972808" w:rsidRPr="00972808">
        <w:rPr>
          <w:sz w:val="28"/>
          <w:szCs w:val="28"/>
          <w:lang w:val="uk-UA"/>
        </w:rPr>
        <w:t xml:space="preserve">Зважаючи на викладене є необхідність в скасуванні </w:t>
      </w:r>
      <w:r w:rsidR="00FB54AB" w:rsidRPr="00FB54AB">
        <w:rPr>
          <w:b/>
          <w:sz w:val="28"/>
          <w:szCs w:val="28"/>
          <w:lang w:val="uk-UA"/>
        </w:rPr>
        <w:t>регуляторного акта –</w:t>
      </w:r>
      <w:r w:rsidR="00FB54AB" w:rsidRPr="00FB54AB">
        <w:rPr>
          <w:b/>
          <w:bCs/>
          <w:sz w:val="28"/>
          <w:szCs w:val="28"/>
          <w:lang w:val="uk-UA"/>
        </w:rPr>
        <w:t xml:space="preserve"> рішення </w:t>
      </w:r>
      <w:r w:rsidR="00FB54AB" w:rsidRPr="00FB54AB">
        <w:rPr>
          <w:b/>
          <w:sz w:val="28"/>
          <w:szCs w:val="28"/>
          <w:lang w:val="uk-UA"/>
        </w:rPr>
        <w:t>Сумської міської ради від 05 жовтня 2016 року № 1162-МР «</w:t>
      </w:r>
      <w:r w:rsidR="00FB54AB" w:rsidRPr="00FB54AB">
        <w:rPr>
          <w:b/>
          <w:bCs/>
          <w:sz w:val="28"/>
          <w:szCs w:val="28"/>
          <w:lang w:val="uk-UA"/>
        </w:rPr>
        <w:t xml:space="preserve">Про затвердження Положення </w:t>
      </w:r>
      <w:r w:rsidR="00FB54AB" w:rsidRPr="00FB54AB">
        <w:rPr>
          <w:b/>
          <w:sz w:val="28"/>
          <w:szCs w:val="28"/>
          <w:lang w:val="uk-UA"/>
        </w:rPr>
        <w:t>про дольову участь співвласників у поточному, капітальному ремонтах (реконструкції, модернізації) в багатоквартирних житлових будинках м. Суми</w:t>
      </w:r>
      <w:r w:rsidR="00FB54AB" w:rsidRPr="00FB54AB">
        <w:rPr>
          <w:b/>
          <w:bCs/>
          <w:sz w:val="28"/>
          <w:szCs w:val="28"/>
          <w:lang w:val="uk-UA"/>
        </w:rPr>
        <w:t>»</w:t>
      </w:r>
      <w:r w:rsidR="00972808">
        <w:rPr>
          <w:sz w:val="28"/>
          <w:szCs w:val="28"/>
          <w:lang w:val="uk-UA"/>
        </w:rPr>
        <w:t>.</w:t>
      </w:r>
    </w:p>
    <w:p w:rsidR="0057679B" w:rsidRPr="00FB54AB" w:rsidRDefault="0057679B" w:rsidP="00D03F73">
      <w:pPr>
        <w:ind w:firstLine="709"/>
        <w:jc w:val="both"/>
        <w:rPr>
          <w:sz w:val="28"/>
          <w:szCs w:val="28"/>
          <w:lang w:val="uk-UA"/>
        </w:rPr>
      </w:pPr>
    </w:p>
    <w:p w:rsidR="00E44442" w:rsidRPr="00FB54AB" w:rsidRDefault="00E44442" w:rsidP="00764B93">
      <w:pPr>
        <w:ind w:firstLine="709"/>
        <w:jc w:val="both"/>
        <w:rPr>
          <w:bCs/>
          <w:sz w:val="28"/>
          <w:szCs w:val="28"/>
          <w:lang w:val="uk-UA"/>
        </w:rPr>
      </w:pPr>
    </w:p>
    <w:p w:rsidR="00FB54AB" w:rsidRPr="00FB54AB" w:rsidRDefault="00FB54AB" w:rsidP="00764B93">
      <w:pPr>
        <w:ind w:firstLine="709"/>
        <w:jc w:val="both"/>
        <w:rPr>
          <w:bCs/>
          <w:sz w:val="28"/>
          <w:szCs w:val="28"/>
          <w:lang w:val="uk-UA"/>
        </w:rPr>
      </w:pPr>
    </w:p>
    <w:p w:rsidR="00097C5B" w:rsidRPr="00FB54AB" w:rsidRDefault="00097C5B" w:rsidP="00764B93">
      <w:pPr>
        <w:ind w:firstLine="709"/>
        <w:jc w:val="both"/>
        <w:rPr>
          <w:bCs/>
          <w:sz w:val="28"/>
          <w:szCs w:val="28"/>
          <w:lang w:val="uk-UA"/>
        </w:rPr>
      </w:pPr>
    </w:p>
    <w:p w:rsidR="00764B93" w:rsidRDefault="00DE113C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міського голови                        </w:t>
      </w:r>
      <w:r w:rsidR="00E749C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В.В. Войтенко</w:t>
      </w:r>
    </w:p>
    <w:p w:rsidR="00764B93" w:rsidRDefault="00764B93" w:rsidP="00764B93">
      <w:pPr>
        <w:rPr>
          <w:lang w:val="uk-UA"/>
        </w:rPr>
      </w:pPr>
    </w:p>
    <w:p w:rsidR="001268A3" w:rsidRPr="0040194F" w:rsidRDefault="00356296" w:rsidP="003574F4">
      <w:pPr>
        <w:jc w:val="both"/>
        <w:rPr>
          <w:sz w:val="28"/>
          <w:szCs w:val="28"/>
          <w:lang w:val="uk-UA"/>
        </w:rPr>
      </w:pPr>
      <w:r>
        <w:rPr>
          <w:bCs/>
          <w:lang w:val="uk-UA"/>
        </w:rPr>
        <w:t>Павленко</w:t>
      </w:r>
      <w:r w:rsidR="00D03F73" w:rsidRPr="0040194F">
        <w:rPr>
          <w:bCs/>
          <w:lang w:val="uk-UA"/>
        </w:rPr>
        <w:t xml:space="preserve"> 700-590</w:t>
      </w:r>
      <w:r w:rsidR="00764B93" w:rsidRPr="0040194F">
        <w:rPr>
          <w:bCs/>
          <w:lang w:val="uk-UA"/>
        </w:rPr>
        <w:tab/>
      </w:r>
    </w:p>
    <w:sectPr w:rsidR="001268A3" w:rsidRPr="0040194F" w:rsidSect="00DE1EF5">
      <w:pgSz w:w="11906" w:h="16838"/>
      <w:pgMar w:top="851" w:right="7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6A5"/>
    <w:multiLevelType w:val="hybridMultilevel"/>
    <w:tmpl w:val="4E14AB26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387F93"/>
    <w:multiLevelType w:val="hybridMultilevel"/>
    <w:tmpl w:val="F18C244E"/>
    <w:lvl w:ilvl="0" w:tplc="8C76F07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400A6"/>
    <w:rsid w:val="00097C5B"/>
    <w:rsid w:val="000E6417"/>
    <w:rsid w:val="001268A3"/>
    <w:rsid w:val="001B49E4"/>
    <w:rsid w:val="001E611C"/>
    <w:rsid w:val="00326F12"/>
    <w:rsid w:val="00334B8A"/>
    <w:rsid w:val="00356296"/>
    <w:rsid w:val="003574F4"/>
    <w:rsid w:val="0040194F"/>
    <w:rsid w:val="00417BDD"/>
    <w:rsid w:val="004225FC"/>
    <w:rsid w:val="00426FB2"/>
    <w:rsid w:val="00540EFB"/>
    <w:rsid w:val="00555EC7"/>
    <w:rsid w:val="0057679B"/>
    <w:rsid w:val="005846AB"/>
    <w:rsid w:val="005D3A5F"/>
    <w:rsid w:val="006B76A0"/>
    <w:rsid w:val="00713B05"/>
    <w:rsid w:val="00764B93"/>
    <w:rsid w:val="00790234"/>
    <w:rsid w:val="00876766"/>
    <w:rsid w:val="008A2318"/>
    <w:rsid w:val="008B0BF7"/>
    <w:rsid w:val="00920425"/>
    <w:rsid w:val="00972808"/>
    <w:rsid w:val="00A01A22"/>
    <w:rsid w:val="00A17BFE"/>
    <w:rsid w:val="00A52F8F"/>
    <w:rsid w:val="00AB2710"/>
    <w:rsid w:val="00AC4D07"/>
    <w:rsid w:val="00BB7F45"/>
    <w:rsid w:val="00C34E4F"/>
    <w:rsid w:val="00C64CE8"/>
    <w:rsid w:val="00CA2B1E"/>
    <w:rsid w:val="00D03F73"/>
    <w:rsid w:val="00DA553B"/>
    <w:rsid w:val="00DE113C"/>
    <w:rsid w:val="00DE1EF5"/>
    <w:rsid w:val="00E44442"/>
    <w:rsid w:val="00E749C3"/>
    <w:rsid w:val="00F71C4A"/>
    <w:rsid w:val="00FB54AB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BDFE-E57E-4067-929F-6EA0C19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basedOn w:val="a0"/>
    <w:rsid w:val="00CA2B1E"/>
  </w:style>
  <w:style w:type="character" w:styleId="a7">
    <w:name w:val="Emphasis"/>
    <w:qFormat/>
    <w:rsid w:val="00334B8A"/>
    <w:rPr>
      <w:i/>
      <w:iCs/>
    </w:rPr>
  </w:style>
  <w:style w:type="paragraph" w:styleId="a8">
    <w:name w:val="List Paragraph"/>
    <w:basedOn w:val="a"/>
    <w:uiPriority w:val="34"/>
    <w:qFormat/>
    <w:rsid w:val="00E44442"/>
    <w:pPr>
      <w:ind w:left="720"/>
      <w:contextualSpacing/>
    </w:pPr>
  </w:style>
  <w:style w:type="character" w:customStyle="1" w:styleId="rvts15">
    <w:name w:val="rvts15"/>
    <w:basedOn w:val="a0"/>
    <w:rsid w:val="00097C5B"/>
  </w:style>
  <w:style w:type="table" w:styleId="a9">
    <w:name w:val="Table Grid"/>
    <w:basedOn w:val="a1"/>
    <w:uiPriority w:val="39"/>
    <w:rsid w:val="0009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Даренська Марина Олександрівна</cp:lastModifiedBy>
  <cp:revision>2</cp:revision>
  <cp:lastPrinted>2019-12-09T11:04:00Z</cp:lastPrinted>
  <dcterms:created xsi:type="dcterms:W3CDTF">2019-12-10T13:02:00Z</dcterms:created>
  <dcterms:modified xsi:type="dcterms:W3CDTF">2019-12-10T13:02:00Z</dcterms:modified>
</cp:coreProperties>
</file>