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37" w:rsidRPr="00094437" w:rsidRDefault="00094437" w:rsidP="00094437">
      <w:pPr>
        <w:tabs>
          <w:tab w:val="center" w:pos="4819"/>
        </w:tabs>
        <w:rPr>
          <w:rFonts w:ascii="Times New Roman" w:hAnsi="Times New Roman"/>
          <w:b/>
          <w:sz w:val="28"/>
          <w:szCs w:val="28"/>
        </w:rPr>
      </w:pPr>
      <w:r w:rsidRPr="00094437">
        <w:rPr>
          <w:rFonts w:ascii="Times New Roman" w:hAnsi="Times New Roman"/>
          <w:b/>
          <w:sz w:val="28"/>
          <w:szCs w:val="28"/>
        </w:rPr>
        <w:t>_______________</w:t>
      </w:r>
    </w:p>
    <w:p w:rsidR="008C0F18" w:rsidRPr="00094437" w:rsidRDefault="008C0F18" w:rsidP="00DA22D1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437">
        <w:rPr>
          <w:rFonts w:ascii="Times New Roman" w:hAnsi="Times New Roman"/>
          <w:b/>
          <w:sz w:val="28"/>
          <w:szCs w:val="28"/>
        </w:rPr>
        <w:t>ЗВІТ</w:t>
      </w:r>
    </w:p>
    <w:p w:rsidR="008C0F18" w:rsidRPr="00094437" w:rsidRDefault="008C0F18" w:rsidP="00DA2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443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57B67">
        <w:rPr>
          <w:rFonts w:ascii="Times New Roman" w:hAnsi="Times New Roman"/>
          <w:b/>
          <w:sz w:val="28"/>
          <w:szCs w:val="28"/>
          <w:lang w:val="uk-UA"/>
        </w:rPr>
        <w:t>періодичне</w:t>
      </w:r>
      <w:r w:rsidRPr="00094437">
        <w:rPr>
          <w:rFonts w:ascii="Times New Roman" w:hAnsi="Times New Roman"/>
          <w:b/>
          <w:sz w:val="28"/>
          <w:szCs w:val="28"/>
          <w:lang w:val="uk-UA"/>
        </w:rPr>
        <w:t xml:space="preserve"> відстеження результативності регуляторного акту – рішення виконавчого комітету Сумської міської ради від 28.09.2015 № 530 «Про 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</w:t>
      </w:r>
    </w:p>
    <w:p w:rsidR="008C0F18" w:rsidRPr="00094437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8C0F18" w:rsidRPr="00094437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4437">
        <w:rPr>
          <w:rFonts w:ascii="Times New Roman" w:hAnsi="Times New Roman"/>
          <w:b/>
          <w:sz w:val="28"/>
          <w:szCs w:val="28"/>
          <w:lang w:val="uk-UA"/>
        </w:rPr>
        <w:t>1.</w:t>
      </w:r>
      <w:r w:rsidR="00D37A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4437">
        <w:rPr>
          <w:rFonts w:ascii="Times New Roman" w:hAnsi="Times New Roman"/>
          <w:b/>
          <w:sz w:val="28"/>
          <w:szCs w:val="28"/>
          <w:lang w:val="uk-UA"/>
        </w:rPr>
        <w:t>Вид та назва регуляторного акту</w:t>
      </w:r>
      <w:r w:rsidR="00A47AA6">
        <w:rPr>
          <w:rFonts w:ascii="Times New Roman" w:hAnsi="Times New Roman"/>
          <w:b/>
          <w:sz w:val="28"/>
          <w:szCs w:val="28"/>
          <w:lang w:val="uk-UA"/>
        </w:rPr>
        <w:t>,</w:t>
      </w:r>
      <w:r w:rsidR="00A47AA6" w:rsidRPr="00A47AA6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A47AA6" w:rsidRPr="00A47AA6">
        <w:rPr>
          <w:rFonts w:ascii="Times New Roman" w:hAnsi="Times New Roman"/>
          <w:b/>
          <w:sz w:val="28"/>
          <w:szCs w:val="28"/>
          <w:lang w:val="uk-UA"/>
        </w:rPr>
        <w:t>результативність якого відстежується</w:t>
      </w:r>
      <w:r w:rsidR="00A47AA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Pr="00094437" w:rsidRDefault="008C0F18" w:rsidP="00E11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Суми».</w:t>
      </w:r>
    </w:p>
    <w:p w:rsidR="008C0F18" w:rsidRPr="00DA22D1" w:rsidRDefault="008C0F18" w:rsidP="003B2B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C0F18" w:rsidRPr="00094437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4437">
        <w:rPr>
          <w:rFonts w:ascii="Times New Roman" w:hAnsi="Times New Roman"/>
          <w:b/>
          <w:sz w:val="28"/>
          <w:szCs w:val="28"/>
          <w:lang w:val="uk-UA"/>
        </w:rPr>
        <w:t>2.</w:t>
      </w:r>
      <w:r w:rsidR="00A47A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4437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  <w:r w:rsidR="007E3048" w:rsidRPr="0009443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Pr="00094437" w:rsidRDefault="008C0F18" w:rsidP="003B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Департамент фінансів, економіки та інвестицій Сумської міської ради.</w:t>
      </w:r>
    </w:p>
    <w:p w:rsidR="008C0F18" w:rsidRPr="00DA22D1" w:rsidRDefault="008C0F18" w:rsidP="003B2B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C0F18" w:rsidRPr="00094437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4437">
        <w:rPr>
          <w:rFonts w:ascii="Times New Roman" w:hAnsi="Times New Roman"/>
          <w:b/>
          <w:sz w:val="28"/>
          <w:szCs w:val="28"/>
          <w:lang w:val="uk-UA"/>
        </w:rPr>
        <w:t>3.</w:t>
      </w:r>
      <w:r w:rsidR="00A47A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4437">
        <w:rPr>
          <w:rFonts w:ascii="Times New Roman" w:hAnsi="Times New Roman"/>
          <w:b/>
          <w:sz w:val="28"/>
          <w:szCs w:val="28"/>
          <w:lang w:val="uk-UA"/>
        </w:rPr>
        <w:t>Ціль прийняття акта</w:t>
      </w:r>
      <w:r w:rsidR="007E3048" w:rsidRPr="0009443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Pr="00094437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437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0944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437">
        <w:rPr>
          <w:rFonts w:ascii="Times New Roman" w:hAnsi="Times New Roman"/>
          <w:sz w:val="28"/>
          <w:szCs w:val="28"/>
        </w:rPr>
        <w:t>цілями</w:t>
      </w:r>
      <w:proofErr w:type="spellEnd"/>
      <w:r w:rsidRPr="000944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437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0944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437">
        <w:rPr>
          <w:rFonts w:ascii="Times New Roman" w:hAnsi="Times New Roman"/>
          <w:sz w:val="28"/>
          <w:szCs w:val="28"/>
        </w:rPr>
        <w:t>даного</w:t>
      </w:r>
      <w:proofErr w:type="spellEnd"/>
      <w:r w:rsidRPr="000944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43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094437">
        <w:rPr>
          <w:rFonts w:ascii="Times New Roman" w:hAnsi="Times New Roman"/>
          <w:sz w:val="28"/>
          <w:szCs w:val="28"/>
        </w:rPr>
        <w:t xml:space="preserve"> є:</w:t>
      </w:r>
    </w:p>
    <w:p w:rsidR="008C0F18" w:rsidRPr="00094437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- ефективне використання комунального майна;</w:t>
      </w:r>
    </w:p>
    <w:p w:rsidR="008C0F18" w:rsidRPr="00094437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- зменшення кількості збиткових підприємств;</w:t>
      </w:r>
    </w:p>
    <w:p w:rsidR="008C0F18" w:rsidRPr="00094437" w:rsidRDefault="008C0F18" w:rsidP="00EA7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- поповнення міського бюджету.</w:t>
      </w:r>
    </w:p>
    <w:p w:rsidR="008C0F18" w:rsidRPr="00DA22D1" w:rsidRDefault="008C0F18" w:rsidP="003B2B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47AA6" w:rsidRPr="00EE7048" w:rsidRDefault="00A47AA6" w:rsidP="00A47A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7048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EE7048" w:rsidRPr="00EE7048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відстеження:</w:t>
      </w:r>
    </w:p>
    <w:p w:rsidR="00EE7048" w:rsidRDefault="00EE7048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19.07.2019 - 20.08.2019</w:t>
      </w:r>
    </w:p>
    <w:p w:rsidR="005B0869" w:rsidRPr="00DA22D1" w:rsidRDefault="005B0869" w:rsidP="003B2B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C0F18" w:rsidRPr="00094437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b/>
          <w:sz w:val="28"/>
          <w:szCs w:val="28"/>
          <w:lang w:val="uk-UA"/>
        </w:rPr>
        <w:t>5.</w:t>
      </w:r>
      <w:r w:rsidR="00363A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4437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  <w:r w:rsidR="00112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24C7" w:rsidRPr="001124C7">
        <w:rPr>
          <w:rFonts w:ascii="Times New Roman" w:hAnsi="Times New Roman"/>
          <w:b/>
          <w:sz w:val="28"/>
          <w:szCs w:val="28"/>
          <w:lang w:val="uk-UA"/>
        </w:rPr>
        <w:t>(базове, повторне або періодичне)</w:t>
      </w:r>
      <w:r w:rsidR="007E3048" w:rsidRPr="00094437">
        <w:rPr>
          <w:rFonts w:ascii="Times New Roman" w:hAnsi="Times New Roman"/>
          <w:sz w:val="28"/>
          <w:szCs w:val="28"/>
          <w:lang w:val="uk-UA"/>
        </w:rPr>
        <w:t>:</w:t>
      </w:r>
    </w:p>
    <w:p w:rsidR="008C0F18" w:rsidRPr="00094437" w:rsidRDefault="008C0F18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Пе</w:t>
      </w:r>
      <w:r w:rsidR="001124C7">
        <w:rPr>
          <w:rFonts w:ascii="Times New Roman" w:hAnsi="Times New Roman"/>
          <w:sz w:val="28"/>
          <w:szCs w:val="28"/>
          <w:lang w:val="uk-UA"/>
        </w:rPr>
        <w:t>ріодичне відстеження</w:t>
      </w:r>
    </w:p>
    <w:p w:rsidR="008C0F18" w:rsidRPr="00DA22D1" w:rsidRDefault="008C0F18" w:rsidP="003B2B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C0F18" w:rsidRPr="00094437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b/>
          <w:sz w:val="28"/>
          <w:szCs w:val="28"/>
          <w:lang w:val="uk-UA"/>
        </w:rPr>
        <w:t>6.</w:t>
      </w:r>
      <w:r w:rsidR="00363A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94437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</w:t>
      </w:r>
      <w:r w:rsidR="007E3048" w:rsidRPr="00094437">
        <w:rPr>
          <w:rFonts w:ascii="Times New Roman" w:hAnsi="Times New Roman"/>
          <w:b/>
          <w:sz w:val="28"/>
          <w:szCs w:val="28"/>
          <w:lang w:val="uk-UA"/>
        </w:rPr>
        <w:t>:</w:t>
      </w:r>
      <w:r w:rsidRPr="000944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0F18" w:rsidRPr="00094437" w:rsidRDefault="008C0F18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Статистичний</w:t>
      </w:r>
    </w:p>
    <w:p w:rsidR="008C0F18" w:rsidRPr="00DA22D1" w:rsidRDefault="008C0F18" w:rsidP="003B2B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C0F18" w:rsidRPr="00094437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4437">
        <w:rPr>
          <w:rFonts w:ascii="Times New Roman" w:hAnsi="Times New Roman"/>
          <w:b/>
          <w:sz w:val="28"/>
          <w:szCs w:val="28"/>
          <w:lang w:val="uk-UA"/>
        </w:rPr>
        <w:t xml:space="preserve">7. Дані </w:t>
      </w:r>
      <w:r w:rsidR="00363A35" w:rsidRPr="00363A35">
        <w:rPr>
          <w:rFonts w:ascii="Times New Roman" w:hAnsi="Times New Roman"/>
          <w:b/>
          <w:sz w:val="28"/>
          <w:szCs w:val="28"/>
          <w:lang w:val="uk-UA"/>
        </w:rPr>
        <w:t>та припущення, на основі яких відстежувалася результативність, а також способи одержання даних</w:t>
      </w:r>
      <w:r w:rsidR="007E3048" w:rsidRPr="0009443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Pr="00094437" w:rsidRDefault="008C0F18" w:rsidP="00513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Показником результативності даного регуляторного акту є:</w:t>
      </w:r>
    </w:p>
    <w:p w:rsidR="008C0F18" w:rsidRPr="00094437" w:rsidRDefault="008C0F18" w:rsidP="00230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податок на прибуток, тис. грн.;</w:t>
      </w:r>
    </w:p>
    <w:p w:rsidR="008C0F18" w:rsidRPr="00094437" w:rsidRDefault="008C0F18" w:rsidP="00230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частина чистого прибутку (доходу) за результатами фінансово-господарської діяльності, тис. грн.;</w:t>
      </w:r>
    </w:p>
    <w:p w:rsidR="008C0F18" w:rsidRPr="00094437" w:rsidRDefault="008C0F18" w:rsidP="00230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437">
        <w:rPr>
          <w:rFonts w:ascii="Times New Roman" w:hAnsi="Times New Roman"/>
          <w:sz w:val="28"/>
          <w:szCs w:val="28"/>
          <w:lang w:val="uk-UA"/>
        </w:rPr>
        <w:t>кількість прибуткових комунальних підприємств від загальної кількості,</w:t>
      </w:r>
      <w:r w:rsidR="00363A35">
        <w:rPr>
          <w:rFonts w:ascii="Times New Roman" w:hAnsi="Times New Roman"/>
          <w:sz w:val="28"/>
          <w:szCs w:val="28"/>
          <w:lang w:val="uk-UA"/>
        </w:rPr>
        <w:t xml:space="preserve"> відсоток.</w:t>
      </w:r>
    </w:p>
    <w:p w:rsidR="005B0869" w:rsidRPr="00DA22D1" w:rsidRDefault="005B0869" w:rsidP="003B2BE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E0371" w:rsidRDefault="008C0F18" w:rsidP="003B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>Кількісні значення показників результативності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E0371" w:rsidRPr="00094437" w:rsidRDefault="005E0371" w:rsidP="005E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 за період </w:t>
      </w:r>
      <w:r w:rsidR="00862C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255A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094437">
        <w:rPr>
          <w:rFonts w:ascii="Times New Roman" w:hAnsi="Times New Roman"/>
          <w:sz w:val="28"/>
          <w:szCs w:val="28"/>
          <w:lang w:val="uk-UA"/>
        </w:rPr>
        <w:t>01.01.2016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55A">
        <w:rPr>
          <w:rFonts w:ascii="Times New Roman" w:hAnsi="Times New Roman"/>
          <w:sz w:val="28"/>
          <w:szCs w:val="28"/>
          <w:lang w:val="uk-UA"/>
        </w:rPr>
        <w:t>по</w:t>
      </w:r>
      <w:r w:rsidRPr="00094437">
        <w:rPr>
          <w:rFonts w:ascii="Times New Roman" w:hAnsi="Times New Roman"/>
          <w:sz w:val="28"/>
          <w:szCs w:val="28"/>
          <w:lang w:val="uk-UA"/>
        </w:rPr>
        <w:t xml:space="preserve"> 31.12.2018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22D1" w:rsidRDefault="00DA22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8C0F18" w:rsidRPr="005E0371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862C5B" w:rsidP="0023095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за </w:t>
      </w:r>
      <w:r w:rsidR="00AE2E0A">
        <w:rPr>
          <w:rFonts w:ascii="Times New Roman" w:hAnsi="Times New Roman"/>
          <w:sz w:val="18"/>
          <w:szCs w:val="18"/>
          <w:lang w:val="uk-UA"/>
        </w:rPr>
        <w:t xml:space="preserve">1 півріччя </w:t>
      </w:r>
      <w:r w:rsidR="00B731C8">
        <w:rPr>
          <w:rFonts w:ascii="Times New Roman" w:hAnsi="Times New Roman"/>
          <w:sz w:val="18"/>
          <w:szCs w:val="18"/>
          <w:lang w:val="uk-UA"/>
        </w:rPr>
        <w:t>2016,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AE2E0A">
        <w:rPr>
          <w:rFonts w:ascii="Times New Roman" w:hAnsi="Times New Roman"/>
          <w:sz w:val="18"/>
          <w:szCs w:val="18"/>
          <w:lang w:val="uk-UA"/>
        </w:rPr>
        <w:t xml:space="preserve">1 півріччя </w:t>
      </w:r>
      <w:r>
        <w:rPr>
          <w:rFonts w:ascii="Times New Roman" w:hAnsi="Times New Roman"/>
          <w:sz w:val="18"/>
          <w:szCs w:val="18"/>
          <w:lang w:val="uk-UA"/>
        </w:rPr>
        <w:t>201</w:t>
      </w:r>
      <w:r w:rsidR="007D5463">
        <w:rPr>
          <w:rFonts w:ascii="Times New Roman" w:hAnsi="Times New Roman"/>
          <w:sz w:val="18"/>
          <w:szCs w:val="18"/>
          <w:lang w:val="uk-UA"/>
        </w:rPr>
        <w:t>9</w:t>
      </w:r>
      <w:r>
        <w:rPr>
          <w:rFonts w:ascii="Times New Roman" w:hAnsi="Times New Roman"/>
          <w:sz w:val="18"/>
          <w:szCs w:val="18"/>
          <w:lang w:val="uk-UA"/>
        </w:rPr>
        <w:t xml:space="preserve"> р</w:t>
      </w:r>
      <w:r w:rsidR="00B731C8">
        <w:rPr>
          <w:rFonts w:ascii="Times New Roman" w:hAnsi="Times New Roman"/>
          <w:sz w:val="18"/>
          <w:szCs w:val="18"/>
          <w:lang w:val="uk-UA"/>
        </w:rPr>
        <w:t>оки</w:t>
      </w:r>
      <w:r>
        <w:rPr>
          <w:rFonts w:ascii="Times New Roman" w:hAnsi="Times New Roman"/>
          <w:sz w:val="18"/>
          <w:szCs w:val="18"/>
          <w:lang w:val="uk-UA"/>
        </w:rPr>
        <w:t xml:space="preserve">, </w:t>
      </w:r>
      <w:r w:rsidR="008C0F18" w:rsidRPr="00663315">
        <w:rPr>
          <w:rFonts w:ascii="Times New Roman" w:hAnsi="Times New Roman"/>
          <w:sz w:val="18"/>
          <w:szCs w:val="18"/>
          <w:lang w:val="uk-UA"/>
        </w:rPr>
        <w:t xml:space="preserve"> тис.</w:t>
      </w:r>
      <w:r w:rsidR="008E46AB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8C0F18" w:rsidRPr="00663315">
        <w:rPr>
          <w:rFonts w:ascii="Times New Roman" w:hAnsi="Times New Roman"/>
          <w:sz w:val="18"/>
          <w:szCs w:val="18"/>
          <w:lang w:val="uk-UA"/>
        </w:rPr>
        <w:t>грн.</w:t>
      </w:r>
    </w:p>
    <w:p w:rsidR="001D6B1A" w:rsidRPr="007E2478" w:rsidRDefault="001D6B1A" w:rsidP="0023095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851"/>
        <w:gridCol w:w="850"/>
        <w:gridCol w:w="993"/>
        <w:gridCol w:w="992"/>
        <w:gridCol w:w="992"/>
        <w:gridCol w:w="992"/>
        <w:gridCol w:w="851"/>
        <w:gridCol w:w="850"/>
        <w:gridCol w:w="993"/>
      </w:tblGrid>
      <w:tr w:rsidR="008C0F18" w:rsidRPr="00053275" w:rsidTr="00D644F8">
        <w:trPr>
          <w:trHeight w:val="627"/>
        </w:trPr>
        <w:tc>
          <w:tcPr>
            <w:tcW w:w="425" w:type="dxa"/>
            <w:vMerge w:val="restart"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bookmarkStart w:id="0" w:name="OLE_LINK1"/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підприємства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8C0F18" w:rsidRPr="00053275" w:rsidRDefault="008C0F18" w:rsidP="00D83C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Чистий прибуток (збиток)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Надійшло до міського бюджету</w:t>
            </w:r>
          </w:p>
        </w:tc>
      </w:tr>
      <w:tr w:rsidR="008C0F18" w:rsidRPr="00053275" w:rsidTr="00D644F8">
        <w:trPr>
          <w:trHeight w:val="900"/>
        </w:trPr>
        <w:tc>
          <w:tcPr>
            <w:tcW w:w="425" w:type="dxa"/>
            <w:vMerge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vMerge/>
            <w:vAlign w:val="center"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gridSpan w:val="3"/>
            <w:vMerge/>
          </w:tcPr>
          <w:p w:rsidR="008C0F18" w:rsidRPr="00053275" w:rsidRDefault="008C0F18" w:rsidP="00F635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Податок на прибуток (в </w:t>
            </w:r>
            <w:proofErr w:type="spellStart"/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т.ч</w:t>
            </w:r>
            <w:proofErr w:type="spellEnd"/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 авансові внески з податку на прибуток)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F18" w:rsidRPr="00053275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Частина чистого прибутку (доходу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433A7F" w:rsidRPr="00053275" w:rsidTr="003104EA">
        <w:trPr>
          <w:cantSplit/>
          <w:trHeight w:val="1134"/>
        </w:trPr>
        <w:tc>
          <w:tcPr>
            <w:tcW w:w="425" w:type="dxa"/>
            <w:vMerge/>
            <w:vAlign w:val="center"/>
          </w:tcPr>
          <w:p w:rsidR="00433A7F" w:rsidRPr="00053275" w:rsidRDefault="00433A7F" w:rsidP="0043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vMerge/>
            <w:vAlign w:val="center"/>
          </w:tcPr>
          <w:p w:rsidR="00433A7F" w:rsidRPr="00053275" w:rsidRDefault="00433A7F" w:rsidP="00433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33A7F" w:rsidRDefault="00433A7F" w:rsidP="00433A7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2016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рік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півріччя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433A7F" w:rsidRDefault="00433A7F" w:rsidP="00433A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рік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півріччя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433A7F" w:rsidRDefault="00433A7F" w:rsidP="00433A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Відхилення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2019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2016, +,-</w:t>
            </w:r>
          </w:p>
        </w:tc>
        <w:tc>
          <w:tcPr>
            <w:tcW w:w="992" w:type="dxa"/>
            <w:textDirection w:val="btLr"/>
            <w:vAlign w:val="center"/>
          </w:tcPr>
          <w:p w:rsidR="00433A7F" w:rsidRDefault="00433A7F" w:rsidP="00433A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2016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рік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півріччя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433A7F" w:rsidRDefault="00433A7F" w:rsidP="00433A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рік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півріччя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433A7F" w:rsidRDefault="00433A7F" w:rsidP="00433A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Відхилення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2019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2016, +,-</w:t>
            </w:r>
          </w:p>
        </w:tc>
        <w:tc>
          <w:tcPr>
            <w:tcW w:w="851" w:type="dxa"/>
            <w:textDirection w:val="btLr"/>
            <w:vAlign w:val="center"/>
          </w:tcPr>
          <w:p w:rsidR="00433A7F" w:rsidRDefault="00433A7F" w:rsidP="00433A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2016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рік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півріччя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A7F" w:rsidRDefault="00433A7F" w:rsidP="00433A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2019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рік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півріччя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A7F" w:rsidRDefault="00433A7F" w:rsidP="00433A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Відхилення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2019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2016, +,-</w:t>
            </w:r>
          </w:p>
        </w:tc>
      </w:tr>
      <w:tr w:rsidR="005801CD" w:rsidRPr="00053275" w:rsidTr="00756130">
        <w:trPr>
          <w:trHeight w:val="198"/>
        </w:trPr>
        <w:tc>
          <w:tcPr>
            <w:tcW w:w="425" w:type="dxa"/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СМР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Електроавтотранс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-387,6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-6 235,0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-5 847,4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-1,0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-5,3 </w:t>
            </w:r>
          </w:p>
        </w:tc>
      </w:tr>
      <w:tr w:rsidR="005801CD" w:rsidRPr="00053275" w:rsidTr="00756130">
        <w:tc>
          <w:tcPr>
            <w:tcW w:w="425" w:type="dxa"/>
          </w:tcPr>
          <w:p w:rsidR="005801CD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5801CD" w:rsidRPr="00513C1B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«Міськводоканал» СМР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4 910,0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1 985,2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-2,3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5801CD" w:rsidRPr="00053275" w:rsidTr="00756130">
        <w:tc>
          <w:tcPr>
            <w:tcW w:w="425" w:type="dxa"/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Міськсвітло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» СМР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-116,0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-31,5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5,7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5801CD" w:rsidRPr="00053275" w:rsidTr="00756130">
        <w:tc>
          <w:tcPr>
            <w:tcW w:w="425" w:type="dxa"/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2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«Сумське міське бюро технічної інвентаризації»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-66,4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-63,4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-0,9 </w:t>
            </w:r>
          </w:p>
        </w:tc>
      </w:tr>
      <w:tr w:rsidR="005801CD" w:rsidRPr="00053275" w:rsidTr="00756130">
        <w:tc>
          <w:tcPr>
            <w:tcW w:w="425" w:type="dxa"/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2" w:type="dxa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«Зеленого будівництва» СМР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-145,0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62,2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6,8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6,8 </w:t>
            </w:r>
          </w:p>
        </w:tc>
      </w:tr>
      <w:tr w:rsidR="005801CD" w:rsidRPr="00053275" w:rsidTr="00756130">
        <w:trPr>
          <w:trHeight w:val="481"/>
        </w:trPr>
        <w:tc>
          <w:tcPr>
            <w:tcW w:w="425" w:type="dxa"/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2" w:type="dxa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Шляхрембуд»СМР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2,6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2,1 </w:t>
            </w:r>
          </w:p>
        </w:tc>
      </w:tr>
      <w:tr w:rsidR="005801CD" w:rsidRPr="00053275" w:rsidTr="00756130">
        <w:tc>
          <w:tcPr>
            <w:tcW w:w="425" w:type="dxa"/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2" w:type="dxa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ДП «Паркінг» КОРП «Дрібнооптовий»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243,0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-61,6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3,5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1,4 </w:t>
            </w:r>
          </w:p>
        </w:tc>
      </w:tr>
      <w:tr w:rsidR="005801CD" w:rsidRPr="00053275" w:rsidTr="00756130">
        <w:tc>
          <w:tcPr>
            <w:tcW w:w="425" w:type="dxa"/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02" w:type="dxa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Сумикомунінвест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» СМР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-12,5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5801CD" w:rsidRPr="00053275" w:rsidTr="00756130">
        <w:tc>
          <w:tcPr>
            <w:tcW w:w="425" w:type="dxa"/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702" w:type="dxa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«А.Б.К.» СМР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5801CD" w:rsidRPr="00053275" w:rsidTr="00756130">
        <w:tc>
          <w:tcPr>
            <w:tcW w:w="425" w:type="dxa"/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2" w:type="dxa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Сумижилкомсервіс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» СМР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-540,0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-630,3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-19,1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-2,7 </w:t>
            </w:r>
          </w:p>
        </w:tc>
      </w:tr>
      <w:tr w:rsidR="005801CD" w:rsidRPr="00053275" w:rsidTr="00756130">
        <w:tc>
          <w:tcPr>
            <w:tcW w:w="425" w:type="dxa"/>
            <w:tcBorders>
              <w:bottom w:val="single" w:sz="4" w:space="0" w:color="auto"/>
            </w:tcBorders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275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«Спеціалізований комбінат»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-18,6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5801CD" w:rsidRPr="00053275" w:rsidTr="0075613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«Сумчанка» СМР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5801CD" w:rsidRPr="00053275" w:rsidTr="0075613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КОРП «Дрібнооптовий» СМР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153,5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-1,3 </w:t>
            </w:r>
          </w:p>
        </w:tc>
      </w:tr>
      <w:tr w:rsidR="005801CD" w:rsidRPr="00053275" w:rsidTr="0075613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МСК «Тенісна академія»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-12,8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5801CD" w:rsidRPr="00053275" w:rsidTr="0075613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B6D93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B6D93">
              <w:rPr>
                <w:rFonts w:ascii="Times New Roman" w:hAnsi="Times New Roman"/>
                <w:sz w:val="16"/>
                <w:szCs w:val="16"/>
                <w:lang w:val="uk-UA"/>
              </w:rPr>
              <w:t>Інфосервіс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» СМР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19,3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0,5 </w:t>
            </w:r>
          </w:p>
        </w:tc>
      </w:tr>
      <w:tr w:rsidR="005801CD" w:rsidRPr="00053275" w:rsidTr="0075613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633388" w:rsidRDefault="005801CD" w:rsidP="005801C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«</w:t>
            </w:r>
            <w:proofErr w:type="spellStart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Сумитеплоенерго</w:t>
            </w:r>
            <w:proofErr w:type="spellEnd"/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-централь» СМР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-375,0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-104,7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-26,2 </w:t>
            </w:r>
          </w:p>
        </w:tc>
      </w:tr>
      <w:tr w:rsidR="005801CD" w:rsidRPr="00053275" w:rsidTr="0075613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33388">
              <w:rPr>
                <w:rFonts w:ascii="Times New Roman" w:hAnsi="Times New Roman"/>
                <w:sz w:val="16"/>
                <w:szCs w:val="16"/>
                <w:lang w:val="uk-UA"/>
              </w:rPr>
              <w:t>КП "Центр догляду за тваринами" СМР</w:t>
            </w:r>
          </w:p>
          <w:p w:rsidR="005801CD" w:rsidRPr="00633388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-166,5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-166,5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Pr="009C09EE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 w:rsidRPr="009C09EE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5801CD" w:rsidRPr="00053275" w:rsidTr="0075613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801CD" w:rsidRPr="00053275" w:rsidRDefault="005801CD" w:rsidP="00580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3 383,0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-1 499,5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-4 882,5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-87,8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CD" w:rsidRDefault="005801CD" w:rsidP="005801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-25,6 </w:t>
            </w:r>
          </w:p>
        </w:tc>
      </w:tr>
      <w:bookmarkEnd w:id="0"/>
    </w:tbl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D6B1A" w:rsidRPr="00053275" w:rsidRDefault="001D6B1A" w:rsidP="003B2B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C0FFE" w:rsidRDefault="008C0F18" w:rsidP="00610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Сумижитло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СМР інформація щодо виконання фінансового плану за 2016</w:t>
      </w:r>
      <w:r w:rsidR="00E21FD6">
        <w:rPr>
          <w:rFonts w:ascii="Times New Roman" w:hAnsi="Times New Roman"/>
          <w:sz w:val="28"/>
          <w:szCs w:val="28"/>
          <w:lang w:val="uk-UA"/>
        </w:rPr>
        <w:t>-201</w:t>
      </w:r>
      <w:r w:rsidR="005922CF">
        <w:rPr>
          <w:rFonts w:ascii="Times New Roman" w:hAnsi="Times New Roman"/>
          <w:sz w:val="28"/>
          <w:szCs w:val="28"/>
          <w:lang w:val="uk-UA"/>
        </w:rPr>
        <w:t>9</w:t>
      </w:r>
      <w:r w:rsidR="00E21FD6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 xml:space="preserve"> не надана.</w:t>
      </w:r>
    </w:p>
    <w:p w:rsidR="00610948" w:rsidRPr="00DA22D1" w:rsidRDefault="00610948" w:rsidP="0061094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F3E">
        <w:rPr>
          <w:rFonts w:ascii="Times New Roman" w:hAnsi="Times New Roman"/>
          <w:b/>
          <w:sz w:val="28"/>
          <w:szCs w:val="28"/>
          <w:lang w:val="uk-UA"/>
        </w:rPr>
        <w:t>9. Оцінка результатів реалізації регуляторного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D621A" w:rsidRPr="007417EB" w:rsidRDefault="009D621A" w:rsidP="009D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17EB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1 півріччя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прибуток отримали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 з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56,3 %)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621A" w:rsidRDefault="009D621A" w:rsidP="009D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 6 місяців 2019</w:t>
      </w:r>
      <w:r w:rsidRPr="007417EB">
        <w:rPr>
          <w:rFonts w:ascii="Times New Roman" w:hAnsi="Times New Roman"/>
          <w:sz w:val="28"/>
          <w:szCs w:val="28"/>
          <w:lang w:val="uk-UA"/>
        </w:rPr>
        <w:t xml:space="preserve"> року прибуток отримали  також 9 комунальних підприємств з 17 (52,9%).</w:t>
      </w:r>
    </w:p>
    <w:p w:rsidR="009D621A" w:rsidRDefault="009D621A" w:rsidP="009D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цьому</w:t>
      </w:r>
      <w:r w:rsidRPr="00147A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</w:t>
      </w:r>
      <w:r>
        <w:rPr>
          <w:rFonts w:ascii="Times New Roman" w:hAnsi="Times New Roman"/>
          <w:sz w:val="28"/>
          <w:szCs w:val="28"/>
          <w:lang w:val="uk-UA"/>
        </w:rPr>
        <w:t>, що за підсумками роботи в І півріччі 2019 року у порівнянні з аналогічним періодом 2016 року підприємства отримали збиток в сумі 1 499,5 тис. грн. проти прибутку в сумі 3 383,0 тис. грн., що в свою чергу призвело до зменшення надходжень податку на прибуток</w:t>
      </w:r>
      <w:r w:rsidR="00D71B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87,8 тис. грн. та відрахування частини чистого прибутку на 25,6 тис. гривень.</w:t>
      </w:r>
    </w:p>
    <w:p w:rsidR="00F60232" w:rsidRDefault="009D621A" w:rsidP="009D621A">
      <w:pPr>
        <w:spacing w:after="0"/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  <w:r w:rsidRPr="00691F0E">
        <w:rPr>
          <w:rFonts w:ascii="Times New Roman" w:hAnsi="Times New Roman"/>
          <w:sz w:val="28"/>
          <w:szCs w:val="28"/>
          <w:lang w:val="uk-UA"/>
        </w:rPr>
        <w:t>Аналіз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був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проведений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без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врахування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показників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F0E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Pr="00691F0E">
        <w:rPr>
          <w:rFonts w:ascii="Times New Roman" w:hAnsi="Times New Roman"/>
          <w:sz w:val="28"/>
          <w:szCs w:val="28"/>
          <w:lang w:val="uk-UA"/>
        </w:rPr>
        <w:t>Сумижитло</w:t>
      </w:r>
      <w:proofErr w:type="spellEnd"/>
      <w:r w:rsidRPr="00691F0E">
        <w:rPr>
          <w:rFonts w:ascii="Times New Roman" w:hAnsi="Times New Roman"/>
          <w:sz w:val="28"/>
          <w:szCs w:val="28"/>
          <w:lang w:val="uk-UA"/>
        </w:rPr>
        <w:t>» СМР, оскільки фінансовий план на 2016</w:t>
      </w:r>
      <w:r w:rsidR="009E7235">
        <w:rPr>
          <w:rFonts w:ascii="Times New Roman" w:hAnsi="Times New Roman"/>
          <w:sz w:val="28"/>
          <w:szCs w:val="28"/>
          <w:lang w:val="uk-UA"/>
        </w:rPr>
        <w:t>-2019 роки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 по цьому підприємству не затверджений</w:t>
      </w:r>
      <w:r w:rsidR="009E7235">
        <w:rPr>
          <w:rFonts w:ascii="Times New Roman" w:hAnsi="Times New Roman"/>
          <w:sz w:val="28"/>
          <w:szCs w:val="28"/>
          <w:lang w:val="uk-UA"/>
        </w:rPr>
        <w:t>,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 звіт</w:t>
      </w:r>
      <w:r w:rsidR="009E7235">
        <w:rPr>
          <w:rFonts w:ascii="Times New Roman" w:hAnsi="Times New Roman"/>
          <w:sz w:val="28"/>
          <w:szCs w:val="28"/>
          <w:lang w:val="uk-UA"/>
        </w:rPr>
        <w:t>и</w:t>
      </w:r>
      <w:r w:rsidRPr="00691F0E">
        <w:rPr>
          <w:rFonts w:ascii="Times New Roman" w:hAnsi="Times New Roman"/>
          <w:sz w:val="28"/>
          <w:szCs w:val="28"/>
          <w:lang w:val="uk-UA"/>
        </w:rPr>
        <w:t xml:space="preserve"> про виконання фінансового плану не надан</w:t>
      </w:r>
      <w:r w:rsidR="009E7235">
        <w:rPr>
          <w:rFonts w:ascii="Times New Roman" w:hAnsi="Times New Roman"/>
          <w:sz w:val="28"/>
          <w:szCs w:val="28"/>
          <w:lang w:val="uk-UA"/>
        </w:rPr>
        <w:t>і</w:t>
      </w:r>
      <w:r w:rsidRPr="00691F0E">
        <w:rPr>
          <w:rFonts w:ascii="Times New Roman" w:hAnsi="Times New Roman"/>
          <w:sz w:val="28"/>
          <w:szCs w:val="28"/>
          <w:lang w:val="uk-UA"/>
        </w:rPr>
        <w:t>.</w:t>
      </w:r>
    </w:p>
    <w:p w:rsidR="009D621A" w:rsidRPr="00E7229D" w:rsidRDefault="009D621A" w:rsidP="00E72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1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232" w:rsidRPr="00E7229D">
        <w:rPr>
          <w:rFonts w:ascii="Times New Roman" w:hAnsi="Times New Roman"/>
          <w:sz w:val="28"/>
          <w:szCs w:val="28"/>
          <w:lang w:val="uk-UA"/>
        </w:rPr>
        <w:t xml:space="preserve">Проаналізувавши регуляторний акт можна зробити висновок, що </w:t>
      </w:r>
      <w:r w:rsidR="00C9063F" w:rsidRPr="00E7229D">
        <w:rPr>
          <w:rFonts w:ascii="Times New Roman" w:hAnsi="Times New Roman"/>
          <w:sz w:val="28"/>
          <w:szCs w:val="28"/>
          <w:lang w:val="uk-UA"/>
        </w:rPr>
        <w:t>намагання органів місцевого самоврядування підвищити</w:t>
      </w:r>
      <w:r w:rsidR="00F60232" w:rsidRPr="00E7229D">
        <w:rPr>
          <w:rFonts w:ascii="Times New Roman" w:hAnsi="Times New Roman"/>
          <w:sz w:val="28"/>
          <w:szCs w:val="28"/>
          <w:lang w:val="uk-UA"/>
        </w:rPr>
        <w:t xml:space="preserve"> ефективн</w:t>
      </w:r>
      <w:r w:rsidR="00C9063F" w:rsidRPr="00E7229D">
        <w:rPr>
          <w:rFonts w:ascii="Times New Roman" w:hAnsi="Times New Roman"/>
          <w:sz w:val="28"/>
          <w:szCs w:val="28"/>
          <w:lang w:val="uk-UA"/>
        </w:rPr>
        <w:t>ість</w:t>
      </w:r>
      <w:r w:rsidR="00F60232" w:rsidRPr="00E7229D">
        <w:rPr>
          <w:rFonts w:ascii="Times New Roman" w:hAnsi="Times New Roman"/>
          <w:sz w:val="28"/>
          <w:szCs w:val="28"/>
          <w:lang w:val="uk-UA"/>
        </w:rPr>
        <w:t xml:space="preserve"> роботи підприємств</w:t>
      </w:r>
      <w:r w:rsidR="003C1934" w:rsidRPr="00E7229D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територіальної громади міста Суми шляхом складання, затвердження (погодження) та контролю виконання фінансового плану підприємств нівелюється негативним впливом на фінансовий стан підприємств таких основних чинників, як</w:t>
      </w:r>
      <w:r w:rsidR="00E7229D" w:rsidRPr="00E7229D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E7229D">
        <w:rPr>
          <w:rFonts w:ascii="Times New Roman" w:hAnsi="Times New Roman"/>
          <w:sz w:val="28"/>
          <w:szCs w:val="28"/>
          <w:lang w:val="uk-UA"/>
        </w:rPr>
        <w:t>епрогнозована політика цін на енергоносії, паливно – мастильні матеріали;</w:t>
      </w:r>
      <w:r w:rsidR="00E7229D" w:rsidRPr="00E7229D">
        <w:rPr>
          <w:rFonts w:ascii="Times New Roman" w:hAnsi="Times New Roman"/>
          <w:sz w:val="28"/>
          <w:szCs w:val="28"/>
          <w:lang w:val="uk-UA"/>
        </w:rPr>
        <w:t xml:space="preserve"> знос основних засобів тощо.</w:t>
      </w:r>
    </w:p>
    <w:p w:rsidR="007D5463" w:rsidRDefault="007D5463" w:rsidP="00FD2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5463" w:rsidRDefault="007D5463" w:rsidP="00FD2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5463" w:rsidRDefault="007D5463" w:rsidP="00FD2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1B3" w:rsidRDefault="008541B3" w:rsidP="00FD2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7F9A" w:rsidRDefault="00887F9A" w:rsidP="00887F9A">
      <w:pPr>
        <w:tabs>
          <w:tab w:val="left" w:pos="29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Сумський 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О.М. Лисенко</w:t>
      </w:r>
    </w:p>
    <w:p w:rsidR="00887F9A" w:rsidRDefault="00887F9A" w:rsidP="00887F9A">
      <w:pPr>
        <w:tabs>
          <w:tab w:val="left" w:pos="2910"/>
        </w:tabs>
        <w:spacing w:after="0"/>
        <w:rPr>
          <w:rFonts w:ascii="Times New Roman" w:hAnsi="Times New Roman"/>
          <w:b/>
          <w:color w:val="D9D9D9" w:themeColor="background1" w:themeShade="D9"/>
          <w:sz w:val="28"/>
          <w:szCs w:val="28"/>
          <w:lang w:val="uk-UA"/>
        </w:rPr>
      </w:pPr>
    </w:p>
    <w:p w:rsidR="00887F9A" w:rsidRDefault="003868FA" w:rsidP="00887F9A">
      <w:pPr>
        <w:tabs>
          <w:tab w:val="left" w:pos="2910"/>
        </w:tabs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8C56A1">
        <w:rPr>
          <w:rFonts w:ascii="Times New Roman" w:hAnsi="Times New Roman"/>
          <w:i/>
          <w:sz w:val="28"/>
          <w:szCs w:val="28"/>
          <w:lang w:val="uk-UA"/>
        </w:rPr>
        <w:t>Липова С.А. 700-399</w:t>
      </w:r>
    </w:p>
    <w:p w:rsidR="00BE5788" w:rsidRPr="008C56A1" w:rsidRDefault="00BE5788" w:rsidP="00887F9A">
      <w:pPr>
        <w:tabs>
          <w:tab w:val="left" w:pos="2910"/>
        </w:tabs>
        <w:spacing w:after="0"/>
        <w:rPr>
          <w:rFonts w:ascii="Times New Roman" w:hAnsi="Times New Roman"/>
          <w:i/>
          <w:sz w:val="28"/>
          <w:szCs w:val="28"/>
          <w:lang w:val="uk-UA"/>
        </w:rPr>
      </w:pPr>
      <w:bookmarkStart w:id="1" w:name="_GoBack"/>
      <w:bookmarkEnd w:id="1"/>
    </w:p>
    <w:sectPr w:rsidR="00BE5788" w:rsidRPr="008C56A1" w:rsidSect="00DA2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41" w:rsidRDefault="00B47841" w:rsidP="00E445BE">
      <w:pPr>
        <w:spacing w:after="0" w:line="240" w:lineRule="auto"/>
      </w:pPr>
      <w:r>
        <w:separator/>
      </w:r>
    </w:p>
  </w:endnote>
  <w:endnote w:type="continuationSeparator" w:id="0">
    <w:p w:rsidR="00B47841" w:rsidRDefault="00B47841" w:rsidP="00E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Pr="00EE52F5" w:rsidRDefault="008C0F18" w:rsidP="00EE52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41" w:rsidRDefault="00B47841" w:rsidP="00E445BE">
      <w:pPr>
        <w:spacing w:after="0" w:line="240" w:lineRule="auto"/>
      </w:pPr>
      <w:r>
        <w:separator/>
      </w:r>
    </w:p>
  </w:footnote>
  <w:footnote w:type="continuationSeparator" w:id="0">
    <w:p w:rsidR="00B47841" w:rsidRDefault="00B47841" w:rsidP="00E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4D0"/>
    <w:multiLevelType w:val="hybridMultilevel"/>
    <w:tmpl w:val="4D4A77F4"/>
    <w:lvl w:ilvl="0" w:tplc="5CB6237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747418"/>
    <w:multiLevelType w:val="hybridMultilevel"/>
    <w:tmpl w:val="9DB6D2AC"/>
    <w:lvl w:ilvl="0" w:tplc="CD688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A"/>
    <w:rsid w:val="000113D3"/>
    <w:rsid w:val="00047DDE"/>
    <w:rsid w:val="00053275"/>
    <w:rsid w:val="00053552"/>
    <w:rsid w:val="00056C10"/>
    <w:rsid w:val="00062E50"/>
    <w:rsid w:val="0008733A"/>
    <w:rsid w:val="00087C1A"/>
    <w:rsid w:val="00093726"/>
    <w:rsid w:val="00094437"/>
    <w:rsid w:val="0009673B"/>
    <w:rsid w:val="000E3F95"/>
    <w:rsid w:val="000F4FF3"/>
    <w:rsid w:val="0010122C"/>
    <w:rsid w:val="0011176B"/>
    <w:rsid w:val="001124C7"/>
    <w:rsid w:val="001209C9"/>
    <w:rsid w:val="00121753"/>
    <w:rsid w:val="00121A46"/>
    <w:rsid w:val="0013665C"/>
    <w:rsid w:val="00142F55"/>
    <w:rsid w:val="00145D32"/>
    <w:rsid w:val="00147AF7"/>
    <w:rsid w:val="00160F9A"/>
    <w:rsid w:val="00171D6D"/>
    <w:rsid w:val="0017221F"/>
    <w:rsid w:val="00176704"/>
    <w:rsid w:val="0019395B"/>
    <w:rsid w:val="00194740"/>
    <w:rsid w:val="00197150"/>
    <w:rsid w:val="001A0409"/>
    <w:rsid w:val="001A1E15"/>
    <w:rsid w:val="001D0621"/>
    <w:rsid w:val="001D4B59"/>
    <w:rsid w:val="001D58A9"/>
    <w:rsid w:val="001D6B1A"/>
    <w:rsid w:val="001E0E5C"/>
    <w:rsid w:val="001F1B9C"/>
    <w:rsid w:val="001F293E"/>
    <w:rsid w:val="00210CC4"/>
    <w:rsid w:val="002208DD"/>
    <w:rsid w:val="002253B0"/>
    <w:rsid w:val="0023095A"/>
    <w:rsid w:val="00234C38"/>
    <w:rsid w:val="002568C0"/>
    <w:rsid w:val="002631A5"/>
    <w:rsid w:val="002B3AD9"/>
    <w:rsid w:val="002C0EDB"/>
    <w:rsid w:val="002C7CB8"/>
    <w:rsid w:val="002D75FB"/>
    <w:rsid w:val="002E31D6"/>
    <w:rsid w:val="002F3F55"/>
    <w:rsid w:val="002F6201"/>
    <w:rsid w:val="002F6740"/>
    <w:rsid w:val="00321FFF"/>
    <w:rsid w:val="00324FB6"/>
    <w:rsid w:val="003414DA"/>
    <w:rsid w:val="00361C33"/>
    <w:rsid w:val="00363A35"/>
    <w:rsid w:val="00370FD9"/>
    <w:rsid w:val="00371AB8"/>
    <w:rsid w:val="00374951"/>
    <w:rsid w:val="00383EB5"/>
    <w:rsid w:val="003868FA"/>
    <w:rsid w:val="003917B1"/>
    <w:rsid w:val="003919E7"/>
    <w:rsid w:val="00397D26"/>
    <w:rsid w:val="003A48FD"/>
    <w:rsid w:val="003B1FB5"/>
    <w:rsid w:val="003B2BEF"/>
    <w:rsid w:val="003C1934"/>
    <w:rsid w:val="003C328C"/>
    <w:rsid w:val="003F3428"/>
    <w:rsid w:val="003F65D9"/>
    <w:rsid w:val="00405539"/>
    <w:rsid w:val="004174DC"/>
    <w:rsid w:val="00420691"/>
    <w:rsid w:val="00424517"/>
    <w:rsid w:val="00433A7F"/>
    <w:rsid w:val="00434B2A"/>
    <w:rsid w:val="00435CBF"/>
    <w:rsid w:val="00437C68"/>
    <w:rsid w:val="00445C4E"/>
    <w:rsid w:val="0045350C"/>
    <w:rsid w:val="00487401"/>
    <w:rsid w:val="00490C5E"/>
    <w:rsid w:val="00494933"/>
    <w:rsid w:val="004975E5"/>
    <w:rsid w:val="004A2AD1"/>
    <w:rsid w:val="004C0FFE"/>
    <w:rsid w:val="004E7A4D"/>
    <w:rsid w:val="004F700E"/>
    <w:rsid w:val="0050434A"/>
    <w:rsid w:val="00504A14"/>
    <w:rsid w:val="0051206C"/>
    <w:rsid w:val="00513C1B"/>
    <w:rsid w:val="0054154B"/>
    <w:rsid w:val="00571E82"/>
    <w:rsid w:val="00575967"/>
    <w:rsid w:val="00575C8A"/>
    <w:rsid w:val="005801CD"/>
    <w:rsid w:val="005922CF"/>
    <w:rsid w:val="00597F49"/>
    <w:rsid w:val="005B0869"/>
    <w:rsid w:val="005C3DD0"/>
    <w:rsid w:val="005D0EA3"/>
    <w:rsid w:val="005E0371"/>
    <w:rsid w:val="00610310"/>
    <w:rsid w:val="00610948"/>
    <w:rsid w:val="00610BD4"/>
    <w:rsid w:val="0062475E"/>
    <w:rsid w:val="00633388"/>
    <w:rsid w:val="0064501D"/>
    <w:rsid w:val="006524F8"/>
    <w:rsid w:val="00655EF0"/>
    <w:rsid w:val="00663315"/>
    <w:rsid w:val="00682D60"/>
    <w:rsid w:val="0069164E"/>
    <w:rsid w:val="00691F0E"/>
    <w:rsid w:val="00697BEC"/>
    <w:rsid w:val="006A6E68"/>
    <w:rsid w:val="006B47EE"/>
    <w:rsid w:val="006B6D93"/>
    <w:rsid w:val="006C53DD"/>
    <w:rsid w:val="006C5459"/>
    <w:rsid w:val="006C6214"/>
    <w:rsid w:val="006D1BA0"/>
    <w:rsid w:val="006F00D9"/>
    <w:rsid w:val="006F44C1"/>
    <w:rsid w:val="00706A08"/>
    <w:rsid w:val="0071478D"/>
    <w:rsid w:val="00714B6D"/>
    <w:rsid w:val="00717697"/>
    <w:rsid w:val="00733D07"/>
    <w:rsid w:val="00737242"/>
    <w:rsid w:val="007417EB"/>
    <w:rsid w:val="00791129"/>
    <w:rsid w:val="007A104C"/>
    <w:rsid w:val="007D5463"/>
    <w:rsid w:val="007D55FF"/>
    <w:rsid w:val="007E2478"/>
    <w:rsid w:val="007E3048"/>
    <w:rsid w:val="007E5EB1"/>
    <w:rsid w:val="007F080E"/>
    <w:rsid w:val="0080146F"/>
    <w:rsid w:val="008014CD"/>
    <w:rsid w:val="00834D72"/>
    <w:rsid w:val="00844BAA"/>
    <w:rsid w:val="00844D1E"/>
    <w:rsid w:val="0084541E"/>
    <w:rsid w:val="00846C8B"/>
    <w:rsid w:val="00847E78"/>
    <w:rsid w:val="008541B3"/>
    <w:rsid w:val="00862C5B"/>
    <w:rsid w:val="00866B76"/>
    <w:rsid w:val="008736DA"/>
    <w:rsid w:val="008803DE"/>
    <w:rsid w:val="00884EE0"/>
    <w:rsid w:val="00887F9A"/>
    <w:rsid w:val="008A09AB"/>
    <w:rsid w:val="008B5C1E"/>
    <w:rsid w:val="008C0F18"/>
    <w:rsid w:val="008C4E50"/>
    <w:rsid w:val="008C5252"/>
    <w:rsid w:val="008C56A1"/>
    <w:rsid w:val="008C72E1"/>
    <w:rsid w:val="008D1F22"/>
    <w:rsid w:val="008D2C83"/>
    <w:rsid w:val="008E46AB"/>
    <w:rsid w:val="008E6839"/>
    <w:rsid w:val="008F0703"/>
    <w:rsid w:val="00901070"/>
    <w:rsid w:val="0090749A"/>
    <w:rsid w:val="00915BF6"/>
    <w:rsid w:val="009213DE"/>
    <w:rsid w:val="00943781"/>
    <w:rsid w:val="0095383B"/>
    <w:rsid w:val="00957B67"/>
    <w:rsid w:val="009806A0"/>
    <w:rsid w:val="009862D6"/>
    <w:rsid w:val="0099339F"/>
    <w:rsid w:val="00994076"/>
    <w:rsid w:val="00997F3E"/>
    <w:rsid w:val="009A11F4"/>
    <w:rsid w:val="009A255A"/>
    <w:rsid w:val="009B4878"/>
    <w:rsid w:val="009B52A3"/>
    <w:rsid w:val="009C09EE"/>
    <w:rsid w:val="009C530D"/>
    <w:rsid w:val="009D621A"/>
    <w:rsid w:val="009E7235"/>
    <w:rsid w:val="009F0FA5"/>
    <w:rsid w:val="00A0003F"/>
    <w:rsid w:val="00A23670"/>
    <w:rsid w:val="00A242E9"/>
    <w:rsid w:val="00A25692"/>
    <w:rsid w:val="00A45116"/>
    <w:rsid w:val="00A47AA6"/>
    <w:rsid w:val="00A65278"/>
    <w:rsid w:val="00A672DE"/>
    <w:rsid w:val="00A7415C"/>
    <w:rsid w:val="00A77812"/>
    <w:rsid w:val="00A83B5E"/>
    <w:rsid w:val="00A900E4"/>
    <w:rsid w:val="00A923A1"/>
    <w:rsid w:val="00A95528"/>
    <w:rsid w:val="00AB1F5E"/>
    <w:rsid w:val="00AC4292"/>
    <w:rsid w:val="00AE1A62"/>
    <w:rsid w:val="00AE2E0A"/>
    <w:rsid w:val="00AF186B"/>
    <w:rsid w:val="00AF433A"/>
    <w:rsid w:val="00AF7FF5"/>
    <w:rsid w:val="00B06980"/>
    <w:rsid w:val="00B2181E"/>
    <w:rsid w:val="00B219C6"/>
    <w:rsid w:val="00B22F56"/>
    <w:rsid w:val="00B2585A"/>
    <w:rsid w:val="00B40384"/>
    <w:rsid w:val="00B46303"/>
    <w:rsid w:val="00B46FAB"/>
    <w:rsid w:val="00B47841"/>
    <w:rsid w:val="00B569E5"/>
    <w:rsid w:val="00B6226B"/>
    <w:rsid w:val="00B626B4"/>
    <w:rsid w:val="00B721B7"/>
    <w:rsid w:val="00B731C8"/>
    <w:rsid w:val="00B814A3"/>
    <w:rsid w:val="00B90F3F"/>
    <w:rsid w:val="00B96913"/>
    <w:rsid w:val="00BA03C7"/>
    <w:rsid w:val="00BA249A"/>
    <w:rsid w:val="00BA77F4"/>
    <w:rsid w:val="00BB096B"/>
    <w:rsid w:val="00BB6B42"/>
    <w:rsid w:val="00BC33E8"/>
    <w:rsid w:val="00BC5FDE"/>
    <w:rsid w:val="00BD3FF0"/>
    <w:rsid w:val="00BE1082"/>
    <w:rsid w:val="00BE5788"/>
    <w:rsid w:val="00BE6F4E"/>
    <w:rsid w:val="00C4459A"/>
    <w:rsid w:val="00C7444E"/>
    <w:rsid w:val="00C75759"/>
    <w:rsid w:val="00C9063F"/>
    <w:rsid w:val="00C94BF2"/>
    <w:rsid w:val="00CC554C"/>
    <w:rsid w:val="00CF05D7"/>
    <w:rsid w:val="00D37A8A"/>
    <w:rsid w:val="00D40112"/>
    <w:rsid w:val="00D4728A"/>
    <w:rsid w:val="00D518BF"/>
    <w:rsid w:val="00D644F8"/>
    <w:rsid w:val="00D71BBF"/>
    <w:rsid w:val="00D80A06"/>
    <w:rsid w:val="00D83C67"/>
    <w:rsid w:val="00DA22D1"/>
    <w:rsid w:val="00DA3913"/>
    <w:rsid w:val="00DC0F45"/>
    <w:rsid w:val="00DE6854"/>
    <w:rsid w:val="00DF35D0"/>
    <w:rsid w:val="00E06AFB"/>
    <w:rsid w:val="00E111CA"/>
    <w:rsid w:val="00E1275E"/>
    <w:rsid w:val="00E21FD6"/>
    <w:rsid w:val="00E445BE"/>
    <w:rsid w:val="00E65820"/>
    <w:rsid w:val="00E7229D"/>
    <w:rsid w:val="00E768B1"/>
    <w:rsid w:val="00E826E6"/>
    <w:rsid w:val="00E93066"/>
    <w:rsid w:val="00EA767D"/>
    <w:rsid w:val="00EB4208"/>
    <w:rsid w:val="00EB78DC"/>
    <w:rsid w:val="00ED1B49"/>
    <w:rsid w:val="00EE2520"/>
    <w:rsid w:val="00EE52F5"/>
    <w:rsid w:val="00EE57BD"/>
    <w:rsid w:val="00EE7048"/>
    <w:rsid w:val="00F16B51"/>
    <w:rsid w:val="00F224F0"/>
    <w:rsid w:val="00F308A7"/>
    <w:rsid w:val="00F35CA8"/>
    <w:rsid w:val="00F56C46"/>
    <w:rsid w:val="00F60232"/>
    <w:rsid w:val="00F635EF"/>
    <w:rsid w:val="00FA1B7A"/>
    <w:rsid w:val="00FA4303"/>
    <w:rsid w:val="00FB183B"/>
    <w:rsid w:val="00FB761D"/>
    <w:rsid w:val="00FB77F7"/>
    <w:rsid w:val="00FC4B5F"/>
    <w:rsid w:val="00FC64CF"/>
    <w:rsid w:val="00FD2B37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10EB3"/>
  <w15:docId w15:val="{14DAD1ED-4445-491F-A6AA-080A9147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9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1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4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445B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445B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70FD9"/>
    <w:rPr>
      <w:rFonts w:ascii="Tahoma" w:hAnsi="Tahoma" w:cs="Tahoma"/>
      <w:sz w:val="16"/>
      <w:szCs w:val="16"/>
      <w:lang w:val="ru-RU" w:eastAsia="en-US"/>
    </w:rPr>
  </w:style>
  <w:style w:type="paragraph" w:styleId="aa">
    <w:name w:val="List Paragraph"/>
    <w:basedOn w:val="a"/>
    <w:uiPriority w:val="34"/>
    <w:qFormat/>
    <w:rsid w:val="00D3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9B2-234F-48F1-862A-F810AF5A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Коберник Анна Борисівна</cp:lastModifiedBy>
  <cp:revision>82</cp:revision>
  <cp:lastPrinted>2019-09-10T11:08:00Z</cp:lastPrinted>
  <dcterms:created xsi:type="dcterms:W3CDTF">2019-08-13T07:22:00Z</dcterms:created>
  <dcterms:modified xsi:type="dcterms:W3CDTF">2019-09-10T11:15:00Z</dcterms:modified>
</cp:coreProperties>
</file>