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A57C3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повторне</w:t>
      </w: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відстеження результативності регуляторного акта – 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 w:rsidR="00647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від </w:t>
      </w:r>
      <w:r w:rsidR="00B73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 грудня</w:t>
      </w:r>
      <w:r w:rsidR="00B732AB" w:rsidRP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0B08" w:rsidRP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</w:t>
      </w:r>
      <w:r w:rsidR="00B73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F0B08" w:rsidRP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74-</w:t>
      </w:r>
      <w:r w:rsid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МР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 w:rsidR="007D0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 плати за доступ до інфраструктури об’єкта будівництва, транспорту, енергетики, кабельної каналізації електрозв’язку, будинкової розподільної мережі комунальної власності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грудня</w:t>
      </w:r>
      <w:r w:rsidR="00B732AB" w:rsidRPr="00BF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B08" w:rsidRPr="00BF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BF0B08" w:rsidRPr="00BF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74-МР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7D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плати за доступ до інфраструктури об’єкта </w:t>
      </w:r>
      <w:r w:rsidR="007D0C5F" w:rsidRPr="007D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будівництва, транспорту, енергетики, кабельної каналізації електрозв’язку, будинкової розподільної мережі комунальної власності</w:t>
      </w:r>
      <w:r w:rsidR="007D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tabs>
          <w:tab w:val="left" w:pos="851"/>
          <w:tab w:val="left" w:pos="993"/>
          <w:tab w:val="left" w:pos="5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відстеження:</w:t>
      </w:r>
    </w:p>
    <w:p w:rsidR="002079C1" w:rsidRPr="002079C1" w:rsidRDefault="007D0C5F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інфраструктури міста Сумської міської ради та відділ транспорту, зв’язку та телекомунікаційних послуг Сумської міської ради.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4A0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Цілі прийняття акта: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Регуляторний акт прийнято з метою: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забезпечення дотримання вимог чинного законодавства;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врегулювання питання встановлення плати за доступ та правильністю обрахування плати за доступ до елементів інфраструктури об’єкта доступу;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сприяння у забезпеченні механізму організації та забезпечення безперешкодного та недискримінаційного доступу операторів (провайдерів) телекомунікацій, уповноважених ними осіб до елементів і</w:t>
      </w:r>
      <w:r w:rsidR="002D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нфраструктури об’єктів доступу </w:t>
      </w: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комунальної власності на договірній основі з підприємствами, на балансі яких перебуває ця інфраструктура та у відповідності з відповідними методиками визначення плати за доступ до елементів інфраструктури об’єкта доступу;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послуг;</w:t>
      </w:r>
    </w:p>
    <w:p w:rsidR="007766AD" w:rsidRPr="007766AD" w:rsidRDefault="003328FB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організації</w:t>
      </w:r>
      <w:r w:rsidR="007766AD"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розвитку інфраструктури об’єкта будівництва, транспорту, енергетики, кабельної каналізації електрозв’язку, будинкової розподільної мережі комунальної власності для розміщення технічних засобів телекомунікацій з метою задоволення потреб населення у телекомунікаційних послугах.</w:t>
      </w:r>
    </w:p>
    <w:p w:rsidR="002079C1" w:rsidRPr="002079C1" w:rsidRDefault="002079C1" w:rsidP="002079C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 результативності цього регуляторного акту здійснювалося з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08.11.2022</w:t>
      </w:r>
      <w:r w:rsidR="00DC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90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22.12.2022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періодичне):</w:t>
      </w:r>
    </w:p>
    <w:p w:rsidR="0061127C" w:rsidRDefault="002079C1" w:rsidP="00290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</w:t>
      </w:r>
      <w:r w:rsidR="00B906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повторне</w:t>
      </w:r>
      <w:r w:rsidR="0029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відстеження </w:t>
      </w:r>
      <w:r w:rsidR="00290477" w:rsidRPr="0029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 акта</w:t>
      </w:r>
      <w:r w:rsidR="0029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90477" w:rsidRPr="00290477" w:rsidRDefault="00290477" w:rsidP="00290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lastRenderedPageBreak/>
        <w:t>6. Методи одержання результатів відстеження:</w:t>
      </w:r>
    </w:p>
    <w:p w:rsidR="002079C1" w:rsidRPr="002079C1" w:rsidRDefault="00650839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проведення </w:t>
      </w:r>
      <w:r w:rsidR="0029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відстеження даного регуляторного акта застосовувався статистичний метод отримання інформації</w:t>
      </w:r>
      <w:r w:rsidR="002079C1"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93ADF" w:rsidRDefault="00A93ADF" w:rsidP="002079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даних: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ab/>
      </w:r>
    </w:p>
    <w:p w:rsidR="002079C1" w:rsidRPr="002079C1" w:rsidRDefault="00B9064C" w:rsidP="00C4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</w:t>
      </w:r>
      <w:r w:rsidR="002079C1"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відстеження результативності рішення 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="002079C1"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74-МР </w:t>
      </w:r>
      <w:r w:rsidR="00C4024C" w:rsidRP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 плати за доступ до інфраструктури об’єкта будівництва, транспорту, енергетики, кабельної каналізації електрозв’язку, будинкової розподільної мережі комунальної власності»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79C1"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здійснювалося шляхом аналізу </w:t>
      </w:r>
      <w:r w:rsidR="00A93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надісланої від суб’є</w:t>
      </w:r>
      <w:r w:rsidR="004A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ктів підприємницької діяльності, 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управителів багатоквартирних житлових будинків </w:t>
      </w:r>
      <w:r w:rsidR="004A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комунальних підприємств Сумської міської ради </w:t>
      </w:r>
      <w:r w:rsidR="00A93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по наступним показникам: </w:t>
      </w:r>
    </w:p>
    <w:p w:rsidR="005A6CF8" w:rsidRPr="005A6CF8" w:rsidRDefault="005A6CF8" w:rsidP="004A0BE5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C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суб’єктів господарювання (операторів та провайдерів), які будуть здійснювати доступ до елементів інфраструктури об’єктів доступу;</w:t>
      </w:r>
    </w:p>
    <w:p w:rsidR="005A6CF8" w:rsidRPr="005A6CF8" w:rsidRDefault="005A6CF8" w:rsidP="004A0BE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виданих технічних умов з доступу та погоджених власником інфраструктури об’єкта доступу проєктної документації з доступу;</w:t>
      </w:r>
    </w:p>
    <w:p w:rsidR="005A6CF8" w:rsidRPr="005A6CF8" w:rsidRDefault="005A6CF8" w:rsidP="004A0BE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укладених договорів з доступу між власником інфраструктури об’єкта доступу та замовником;</w:t>
      </w:r>
    </w:p>
    <w:p w:rsidR="001B18D9" w:rsidRPr="001B18D9" w:rsidRDefault="005A6CF8" w:rsidP="001B18D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договорів з доступу до інфраструктури </w:t>
      </w:r>
      <w:r w:rsidR="0006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 доступу, які розірвані</w:t>
      </w:r>
      <w:r w:rsidR="001B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61997" w:rsidRDefault="001B18D9" w:rsidP="001B18D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C47D03" w:rsidRPr="001B1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озмір надходжень до бюджету</w:t>
      </w:r>
      <w:r w:rsidRPr="001B1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47D03" w:rsidRPr="001B1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8D9" w:rsidRPr="001B18D9" w:rsidRDefault="001B18D9" w:rsidP="001B18D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79C1" w:rsidRDefault="002079C1" w:rsidP="004A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274260" w:rsidRDefault="00053604" w:rsidP="002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Відстеження результативності регуляторного атка здійснюється у встановленому законодавством порядку за наступними показниками з використанням статистичного методу одержання результатів відстеження у період з 24.12.2020 року по 22.</w:t>
      </w:r>
      <w:r w:rsidR="00B607A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</w:t>
      </w:r>
      <w:r w:rsidR="00B607A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року.</w:t>
      </w:r>
    </w:p>
    <w:p w:rsidR="00053604" w:rsidRPr="00274260" w:rsidRDefault="00053604" w:rsidP="002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5"/>
      </w:tblGrid>
      <w:tr w:rsidR="00324210" w:rsidRPr="00501C32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10" w:rsidRPr="002079C1" w:rsidRDefault="00324210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Показники результативності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10" w:rsidRPr="002079C1" w:rsidRDefault="00501C32" w:rsidP="00B607A1">
            <w:pPr>
              <w:spacing w:after="0" w:line="240" w:lineRule="auto"/>
              <w:ind w:left="-221" w:right="-107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01.01.2022</w:t>
            </w:r>
            <w:r w:rsidR="0032421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по 22.</w:t>
            </w:r>
            <w:r w:rsidR="00B607A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12.2022</w:t>
            </w:r>
          </w:p>
        </w:tc>
      </w:tr>
      <w:tr w:rsidR="00324210" w:rsidRPr="004A0BE5" w:rsidTr="00053604">
        <w:trPr>
          <w:trHeight w:val="83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210" w:rsidRPr="002079C1" w:rsidRDefault="00324210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Кількість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суб’єктів господарювання (операторів та провайдерів), які будуть здійснювати доступ до елементів інфраструктури об’єктів доступу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210" w:rsidRPr="002079C1" w:rsidRDefault="003675E7" w:rsidP="0029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2904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324210" w:rsidRPr="004A0BE5" w:rsidTr="00053604">
        <w:trPr>
          <w:trHeight w:val="81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10" w:rsidRPr="002079C1" w:rsidRDefault="00324210" w:rsidP="008E2D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Кількість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виданих технічних умов з доступу та погоджених власником інфраструктури об’єкта доступу проектної документації з доступу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10" w:rsidRPr="002079C1" w:rsidRDefault="00501C32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</w:p>
        </w:tc>
      </w:tr>
      <w:tr w:rsidR="000D6A64" w:rsidRPr="004A0BE5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4" w:rsidRPr="002079C1" w:rsidRDefault="000D6A64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укладених договорів з доступу між власником інфраструктури (уповноваженою особою) об’єкта доступу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4" w:rsidRPr="002079C1" w:rsidRDefault="000123EB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67</w:t>
            </w:r>
          </w:p>
        </w:tc>
      </w:tr>
      <w:tr w:rsidR="00334F49" w:rsidRPr="004A0BE5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9" w:rsidRPr="002079C1" w:rsidRDefault="00334F49" w:rsidP="005A6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Pr="002079C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договорів з доступу до інфраструктури об’єкта доступу, які розірвані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49" w:rsidRPr="002079C1" w:rsidRDefault="000123EB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334F49" w:rsidRPr="00D2248B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49" w:rsidRPr="002079C1" w:rsidRDefault="00334F49" w:rsidP="000666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 Р</w:t>
            </w:r>
            <w:r w:rsidRPr="00066646">
              <w:rPr>
                <w:rFonts w:ascii="Times New Roman" w:eastAsia="Times New Roman" w:hAnsi="Times New Roman" w:cs="Times New Roman"/>
                <w:lang w:val="uk-UA" w:eastAsia="ru-RU"/>
              </w:rPr>
              <w:t>озмір надходжень до бюджету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Сумської міської </w:t>
            </w:r>
            <w:r w:rsidRPr="00066646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49" w:rsidRDefault="00334F49" w:rsidP="0033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</w:t>
            </w:r>
          </w:p>
        </w:tc>
      </w:tr>
    </w:tbl>
    <w:p w:rsid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6C4080" w:rsidRDefault="00B607A1" w:rsidP="00B60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E602F"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</w:t>
      </w:r>
      <w:r w:rsid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="00FE602F"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</w:t>
      </w:r>
      <w:r w:rsid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плати за доступ до інфраструктури об’єкта будівництва, транспорту, енергетики, кабельної каналізації </w:t>
      </w:r>
      <w:r w:rsid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електрозв’язку, будинкової розподільної мережі комунальної власності» </w:t>
      </w:r>
      <w:r w:rsidR="006C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 на невизначене коло осіб, є загальнообов’язковим до застосування на території Сумської міської територіальної громади, відповідає </w:t>
      </w:r>
      <w:r w:rsidR="00FC4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чинному </w:t>
      </w:r>
      <w:r w:rsidR="006C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законодавству України і є актуальним, оскільки сприяє розвитку добросовісної конкуренції, своєчасному плануванню, максимально ефективному розміщенню телекомунікаційних мереж для всіх зацікав</w:t>
      </w:r>
      <w:r w:rsid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лених сторін, зменшенню соціальної напруги серед суб’єктів господарювання</w:t>
      </w:r>
      <w:r w:rsidR="001D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підвищенню рівня інформованості </w:t>
      </w:r>
      <w:r w:rsidR="00FC4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 </w:t>
      </w:r>
      <w:r w:rsidR="001D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норм чинного законодавства України з питань, порушених у регуляторному акті.</w:t>
      </w:r>
    </w:p>
    <w:p w:rsidR="00B607A1" w:rsidRPr="00B607A1" w:rsidRDefault="00B607A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0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Ступінь досягнення визначених цілей є високим, оскільки у вищезазначеному рішенні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</w:t>
      </w:r>
      <w:r w:rsidRPr="00B607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було досягнуто цілі його прийняття та приведено у відповідність до Закону України «Про місцеве самоврядування в Україні».</w:t>
      </w:r>
    </w:p>
    <w:p w:rsidR="002D7E3A" w:rsidRDefault="002D7E3A" w:rsidP="002D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E71" w:rsidRDefault="004C1E7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97F10" w:rsidRPr="002079C1" w:rsidRDefault="00897F10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2248B" w:rsidRDefault="00D2248B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0AC" w:rsidRPr="009330AC" w:rsidRDefault="009330AC" w:rsidP="009330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33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Керуючий справами виконавчого комітету</w:t>
      </w:r>
      <w:r w:rsidRPr="00933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933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bookmarkStart w:id="0" w:name="_GoBack"/>
      <w:bookmarkEnd w:id="0"/>
      <w:r w:rsidRPr="009330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>Юлія ПАВЛИК</w:t>
      </w:r>
    </w:p>
    <w:p w:rsidR="002079C1" w:rsidRPr="009330AC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17E3" w:rsidRDefault="001217E3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Журба О.І.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Яковенко С.В. 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2827" w:rsidRPr="004F44A6" w:rsidRDefault="006A2827" w:rsidP="004F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6A2827" w:rsidRPr="004F44A6" w:rsidSect="0035549B">
      <w:pgSz w:w="12240" w:h="15840"/>
      <w:pgMar w:top="709" w:right="6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3B" w:rsidRDefault="00E7443B" w:rsidP="00562939">
      <w:pPr>
        <w:spacing w:after="0" w:line="240" w:lineRule="auto"/>
      </w:pPr>
      <w:r>
        <w:separator/>
      </w:r>
    </w:p>
  </w:endnote>
  <w:endnote w:type="continuationSeparator" w:id="0">
    <w:p w:rsidR="00E7443B" w:rsidRDefault="00E7443B" w:rsidP="005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3B" w:rsidRDefault="00E7443B" w:rsidP="00562939">
      <w:pPr>
        <w:spacing w:after="0" w:line="240" w:lineRule="auto"/>
      </w:pPr>
      <w:r>
        <w:separator/>
      </w:r>
    </w:p>
  </w:footnote>
  <w:footnote w:type="continuationSeparator" w:id="0">
    <w:p w:rsidR="00E7443B" w:rsidRDefault="00E7443B" w:rsidP="0056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CD"/>
    <w:multiLevelType w:val="hybridMultilevel"/>
    <w:tmpl w:val="E3921ED6"/>
    <w:lvl w:ilvl="0" w:tplc="E572C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81"/>
    <w:multiLevelType w:val="hybridMultilevel"/>
    <w:tmpl w:val="4A0C2456"/>
    <w:lvl w:ilvl="0" w:tplc="F90E32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3A9"/>
    <w:multiLevelType w:val="multilevel"/>
    <w:tmpl w:val="7FA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8"/>
    <w:rsid w:val="000123EB"/>
    <w:rsid w:val="00044009"/>
    <w:rsid w:val="00050098"/>
    <w:rsid w:val="00053604"/>
    <w:rsid w:val="00054E4D"/>
    <w:rsid w:val="00061997"/>
    <w:rsid w:val="00066646"/>
    <w:rsid w:val="000D6A64"/>
    <w:rsid w:val="00100F53"/>
    <w:rsid w:val="001217E3"/>
    <w:rsid w:val="00142CB3"/>
    <w:rsid w:val="001654A0"/>
    <w:rsid w:val="001B18D9"/>
    <w:rsid w:val="001B7170"/>
    <w:rsid w:val="001C1BFB"/>
    <w:rsid w:val="001D180A"/>
    <w:rsid w:val="001D47AF"/>
    <w:rsid w:val="001E0BCD"/>
    <w:rsid w:val="00203636"/>
    <w:rsid w:val="002079C1"/>
    <w:rsid w:val="00274260"/>
    <w:rsid w:val="00280BA8"/>
    <w:rsid w:val="00290477"/>
    <w:rsid w:val="00291458"/>
    <w:rsid w:val="002940F9"/>
    <w:rsid w:val="002A2908"/>
    <w:rsid w:val="002B6F22"/>
    <w:rsid w:val="002C586B"/>
    <w:rsid w:val="002D3B48"/>
    <w:rsid w:val="002D7E3A"/>
    <w:rsid w:val="002F4F00"/>
    <w:rsid w:val="002F5731"/>
    <w:rsid w:val="002F7A0F"/>
    <w:rsid w:val="002F7D93"/>
    <w:rsid w:val="00311B7E"/>
    <w:rsid w:val="00324210"/>
    <w:rsid w:val="003328FB"/>
    <w:rsid w:val="00334F49"/>
    <w:rsid w:val="0035549B"/>
    <w:rsid w:val="00363918"/>
    <w:rsid w:val="003675E7"/>
    <w:rsid w:val="003844CA"/>
    <w:rsid w:val="00386BAE"/>
    <w:rsid w:val="003A65A2"/>
    <w:rsid w:val="003C48BD"/>
    <w:rsid w:val="003C7DA7"/>
    <w:rsid w:val="003E00E5"/>
    <w:rsid w:val="004351BC"/>
    <w:rsid w:val="0044008C"/>
    <w:rsid w:val="004570EE"/>
    <w:rsid w:val="00483973"/>
    <w:rsid w:val="004A0BE5"/>
    <w:rsid w:val="004A5781"/>
    <w:rsid w:val="004C1E71"/>
    <w:rsid w:val="004E763C"/>
    <w:rsid w:val="004F44A6"/>
    <w:rsid w:val="00501C32"/>
    <w:rsid w:val="0052493B"/>
    <w:rsid w:val="00545A44"/>
    <w:rsid w:val="00562939"/>
    <w:rsid w:val="00565ED9"/>
    <w:rsid w:val="005750BB"/>
    <w:rsid w:val="005A658B"/>
    <w:rsid w:val="005A6CF8"/>
    <w:rsid w:val="0061127C"/>
    <w:rsid w:val="00647C11"/>
    <w:rsid w:val="00650839"/>
    <w:rsid w:val="00660CDB"/>
    <w:rsid w:val="00663A4F"/>
    <w:rsid w:val="006A2827"/>
    <w:rsid w:val="006B0B7E"/>
    <w:rsid w:val="006C4080"/>
    <w:rsid w:val="006C460D"/>
    <w:rsid w:val="00737E17"/>
    <w:rsid w:val="007766AD"/>
    <w:rsid w:val="007A316E"/>
    <w:rsid w:val="007D0C5F"/>
    <w:rsid w:val="007D4F5E"/>
    <w:rsid w:val="007F1132"/>
    <w:rsid w:val="00822ADE"/>
    <w:rsid w:val="00824AB6"/>
    <w:rsid w:val="00840CC5"/>
    <w:rsid w:val="00880852"/>
    <w:rsid w:val="00897F10"/>
    <w:rsid w:val="008A384D"/>
    <w:rsid w:val="008B6211"/>
    <w:rsid w:val="008C24EF"/>
    <w:rsid w:val="008C7444"/>
    <w:rsid w:val="008E2DB1"/>
    <w:rsid w:val="008E592B"/>
    <w:rsid w:val="0093266B"/>
    <w:rsid w:val="009330AC"/>
    <w:rsid w:val="00946570"/>
    <w:rsid w:val="00950D65"/>
    <w:rsid w:val="009C6812"/>
    <w:rsid w:val="009E5310"/>
    <w:rsid w:val="00A57988"/>
    <w:rsid w:val="00A57C34"/>
    <w:rsid w:val="00A667AE"/>
    <w:rsid w:val="00A73274"/>
    <w:rsid w:val="00A93ADF"/>
    <w:rsid w:val="00AA2168"/>
    <w:rsid w:val="00AD0302"/>
    <w:rsid w:val="00AE5FB0"/>
    <w:rsid w:val="00B345D5"/>
    <w:rsid w:val="00B43534"/>
    <w:rsid w:val="00B52ACA"/>
    <w:rsid w:val="00B607A1"/>
    <w:rsid w:val="00B62159"/>
    <w:rsid w:val="00B7038E"/>
    <w:rsid w:val="00B732AB"/>
    <w:rsid w:val="00B81306"/>
    <w:rsid w:val="00B9064C"/>
    <w:rsid w:val="00BB00E9"/>
    <w:rsid w:val="00BD5DE4"/>
    <w:rsid w:val="00BF0B08"/>
    <w:rsid w:val="00C07C94"/>
    <w:rsid w:val="00C26767"/>
    <w:rsid w:val="00C4024C"/>
    <w:rsid w:val="00C47D03"/>
    <w:rsid w:val="00C6652B"/>
    <w:rsid w:val="00C711CB"/>
    <w:rsid w:val="00CA594D"/>
    <w:rsid w:val="00CA5FA9"/>
    <w:rsid w:val="00CB5137"/>
    <w:rsid w:val="00CD0988"/>
    <w:rsid w:val="00CF21C2"/>
    <w:rsid w:val="00D13C19"/>
    <w:rsid w:val="00D2248B"/>
    <w:rsid w:val="00D346ED"/>
    <w:rsid w:val="00D53D1C"/>
    <w:rsid w:val="00D70A2A"/>
    <w:rsid w:val="00D915EC"/>
    <w:rsid w:val="00DC772A"/>
    <w:rsid w:val="00E17D81"/>
    <w:rsid w:val="00E2687C"/>
    <w:rsid w:val="00E27581"/>
    <w:rsid w:val="00E27706"/>
    <w:rsid w:val="00E523C8"/>
    <w:rsid w:val="00E539EB"/>
    <w:rsid w:val="00E61624"/>
    <w:rsid w:val="00E7443B"/>
    <w:rsid w:val="00E97B27"/>
    <w:rsid w:val="00EB4CD6"/>
    <w:rsid w:val="00EC0809"/>
    <w:rsid w:val="00EC3EC5"/>
    <w:rsid w:val="00EC79E4"/>
    <w:rsid w:val="00ED17DB"/>
    <w:rsid w:val="00EE1E07"/>
    <w:rsid w:val="00EF3C0C"/>
    <w:rsid w:val="00F608D8"/>
    <w:rsid w:val="00F63448"/>
    <w:rsid w:val="00FC4CE4"/>
    <w:rsid w:val="00FC60AF"/>
    <w:rsid w:val="00FE602F"/>
    <w:rsid w:val="00FF35E3"/>
    <w:rsid w:val="00FF4AC2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58DA9"/>
  <w15:chartTrackingRefBased/>
  <w15:docId w15:val="{560A7999-5278-4B66-B646-39B4BE5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97B27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6C4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39"/>
  </w:style>
  <w:style w:type="paragraph" w:styleId="a7">
    <w:name w:val="footer"/>
    <w:basedOn w:val="a"/>
    <w:link w:val="a8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39"/>
  </w:style>
  <w:style w:type="paragraph" w:styleId="a9">
    <w:name w:val="Balloon Text"/>
    <w:basedOn w:val="a"/>
    <w:link w:val="aa"/>
    <w:uiPriority w:val="99"/>
    <w:semiHidden/>
    <w:unhideWhenUsed/>
    <w:rsid w:val="005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0A2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0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Мельник Інна Миколаївна</cp:lastModifiedBy>
  <cp:revision>5</cp:revision>
  <cp:lastPrinted>2022-12-23T10:41:00Z</cp:lastPrinted>
  <dcterms:created xsi:type="dcterms:W3CDTF">2022-12-20T12:54:00Z</dcterms:created>
  <dcterms:modified xsi:type="dcterms:W3CDTF">2022-12-27T12:45:00Z</dcterms:modified>
</cp:coreProperties>
</file>