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C4700D" w:rsidRPr="00C4700D" w:rsidTr="00585E90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C4700D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C4700D" w:rsidRDefault="00C4700D" w:rsidP="00DA2E64">
            <w:pPr>
              <w:jc w:val="center"/>
              <w:rPr>
                <w:kern w:val="2"/>
                <w:sz w:val="28"/>
                <w:szCs w:val="28"/>
                <w:lang w:val="uk-UA"/>
              </w:rPr>
            </w:pPr>
            <w:r w:rsidRPr="00C4700D">
              <w:rPr>
                <w:noProof/>
                <w:sz w:val="28"/>
                <w:szCs w:val="28"/>
              </w:rPr>
              <w:drawing>
                <wp:inline distT="0" distB="0" distL="0" distR="0" wp14:anchorId="4C49BED0" wp14:editId="442A09C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C4700D" w:rsidRDefault="00C4700D" w:rsidP="00C4700D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DA2E64" w:rsidRDefault="00DA2E64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kern w:val="2"/>
          <w:sz w:val="36"/>
          <w:szCs w:val="36"/>
          <w:lang w:val="uk-UA"/>
        </w:rPr>
      </w:pPr>
    </w:p>
    <w:p w:rsidR="00C4700D" w:rsidRPr="00C4700D" w:rsidRDefault="00C4700D" w:rsidP="00DA2E64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C4700D">
        <w:rPr>
          <w:smallCaps/>
          <w:kern w:val="2"/>
          <w:sz w:val="36"/>
          <w:szCs w:val="36"/>
          <w:lang w:val="uk-UA"/>
        </w:rPr>
        <w:t>СУМСЬКА</w:t>
      </w:r>
      <w:r w:rsidRPr="00C4700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C4700D" w:rsidRDefault="00C4700D" w:rsidP="00DA2E64">
      <w:pPr>
        <w:jc w:val="center"/>
        <w:rPr>
          <w:b/>
          <w:sz w:val="28"/>
          <w:szCs w:val="28"/>
          <w:lang w:val="uk-UA"/>
        </w:rPr>
      </w:pPr>
      <w:r w:rsidRPr="00C4700D">
        <w:rPr>
          <w:sz w:val="28"/>
          <w:szCs w:val="28"/>
          <w:lang w:val="uk-UA"/>
        </w:rPr>
        <w:t xml:space="preserve">VІІ СКЛИКАННЯ </w:t>
      </w:r>
      <w:r w:rsidR="00DA2E64">
        <w:rPr>
          <w:sz w:val="28"/>
          <w:szCs w:val="28"/>
          <w:lang w:val="en-US"/>
        </w:rPr>
        <w:t>XXVII</w:t>
      </w:r>
      <w:r w:rsidR="00557F40">
        <w:rPr>
          <w:sz w:val="28"/>
          <w:szCs w:val="28"/>
          <w:lang w:val="uk-UA"/>
        </w:rPr>
        <w:t xml:space="preserve"> </w:t>
      </w:r>
      <w:r w:rsidRPr="00C4700D">
        <w:rPr>
          <w:sz w:val="28"/>
          <w:szCs w:val="28"/>
          <w:lang w:val="uk-UA"/>
        </w:rPr>
        <w:t>СЕСІЯ</w:t>
      </w:r>
    </w:p>
    <w:p w:rsidR="00C4700D" w:rsidRPr="00C4700D" w:rsidRDefault="00C4700D" w:rsidP="00DA2E64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C4700D">
        <w:rPr>
          <w:b/>
          <w:smallCaps/>
          <w:sz w:val="32"/>
          <w:szCs w:val="32"/>
          <w:lang w:val="uk-UA"/>
        </w:rPr>
        <w:t>РІШЕННЯ</w:t>
      </w:r>
    </w:p>
    <w:p w:rsidR="00C4700D" w:rsidRPr="00C4700D" w:rsidRDefault="00C4700D" w:rsidP="00C4700D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C4700D" w:rsidRPr="00C4700D" w:rsidTr="004117E8">
        <w:trPr>
          <w:trHeight w:val="617"/>
        </w:trPr>
        <w:tc>
          <w:tcPr>
            <w:tcW w:w="5389" w:type="dxa"/>
          </w:tcPr>
          <w:p w:rsidR="00C4700D" w:rsidRPr="00C4700D" w:rsidRDefault="00C4700D" w:rsidP="00C4700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DA2E64">
              <w:rPr>
                <w:bCs/>
                <w:sz w:val="28"/>
                <w:szCs w:val="28"/>
                <w:lang w:val="uk-UA"/>
              </w:rPr>
              <w:t>14 червня</w:t>
            </w:r>
            <w:r w:rsidRPr="00C4700D">
              <w:rPr>
                <w:bCs/>
                <w:sz w:val="28"/>
                <w:szCs w:val="28"/>
                <w:lang w:val="uk-UA"/>
              </w:rPr>
              <w:t xml:space="preserve"> 2017 </w:t>
            </w:r>
            <w:r w:rsidR="00F760A0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4700D">
              <w:rPr>
                <w:bCs/>
                <w:sz w:val="28"/>
                <w:szCs w:val="28"/>
                <w:lang w:val="uk-UA"/>
              </w:rPr>
              <w:t xml:space="preserve">року </w:t>
            </w:r>
            <w:r w:rsidR="00F760A0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4700D">
              <w:rPr>
                <w:bCs/>
                <w:sz w:val="28"/>
                <w:szCs w:val="28"/>
                <w:lang w:val="uk-UA"/>
              </w:rPr>
              <w:t>№</w:t>
            </w:r>
            <w:r w:rsidR="00557F4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A2E64">
              <w:rPr>
                <w:bCs/>
                <w:sz w:val="28"/>
                <w:szCs w:val="28"/>
                <w:lang w:val="uk-UA"/>
              </w:rPr>
              <w:t>2227</w:t>
            </w:r>
            <w:r w:rsidR="00E0576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A2E64">
              <w:rPr>
                <w:bCs/>
                <w:sz w:val="28"/>
                <w:szCs w:val="28"/>
                <w:lang w:val="uk-UA"/>
              </w:rPr>
              <w:t xml:space="preserve">– </w:t>
            </w:r>
            <w:r w:rsidRPr="00C4700D">
              <w:rPr>
                <w:bCs/>
                <w:sz w:val="28"/>
                <w:szCs w:val="28"/>
                <w:lang w:val="uk-UA"/>
              </w:rPr>
              <w:t>МР</w:t>
            </w:r>
          </w:p>
          <w:p w:rsidR="00C4700D" w:rsidRPr="00C4700D" w:rsidRDefault="00C4700D" w:rsidP="00C4700D">
            <w:pPr>
              <w:jc w:val="both"/>
              <w:rPr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C4700D" w:rsidRPr="00C4700D" w:rsidTr="004117E8">
        <w:trPr>
          <w:trHeight w:val="301"/>
        </w:trPr>
        <w:tc>
          <w:tcPr>
            <w:tcW w:w="5389" w:type="dxa"/>
          </w:tcPr>
          <w:p w:rsidR="00C4700D" w:rsidRPr="00C4700D" w:rsidRDefault="00C4700D" w:rsidP="00C4700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700D" w:rsidRPr="00C4700D" w:rsidTr="004117E8">
        <w:trPr>
          <w:trHeight w:val="691"/>
        </w:trPr>
        <w:tc>
          <w:tcPr>
            <w:tcW w:w="5389" w:type="dxa"/>
          </w:tcPr>
          <w:p w:rsidR="00C4700D" w:rsidRPr="00C4700D" w:rsidRDefault="004117E8" w:rsidP="00DA2E64">
            <w:pPr>
              <w:jc w:val="both"/>
              <w:rPr>
                <w:iCs/>
                <w:sz w:val="28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звернення Сумської міської</w:t>
            </w:r>
            <w:r w:rsidRPr="00A3674C">
              <w:rPr>
                <w:sz w:val="28"/>
                <w:szCs w:val="28"/>
                <w:lang w:val="uk-UA"/>
              </w:rPr>
              <w:t xml:space="preserve"> ради до </w:t>
            </w:r>
            <w:r>
              <w:rPr>
                <w:sz w:val="28"/>
                <w:szCs w:val="28"/>
                <w:lang w:val="uk-UA"/>
              </w:rPr>
              <w:t>Генерального прокурора України Луценка</w:t>
            </w:r>
            <w:r w:rsidR="00DA2E64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Ю.В., начальника Сумського відділу поліції ГУ НП в Сумській області Карабути П.І. </w:t>
            </w:r>
            <w:r w:rsidRPr="00A3674C">
              <w:rPr>
                <w:sz w:val="28"/>
                <w:szCs w:val="28"/>
                <w:lang w:val="uk-UA"/>
              </w:rPr>
              <w:t xml:space="preserve">щодо </w:t>
            </w:r>
            <w:r>
              <w:rPr>
                <w:sz w:val="28"/>
                <w:szCs w:val="28"/>
                <w:lang w:val="uk-UA"/>
              </w:rPr>
              <w:t xml:space="preserve">протиправних дій </w:t>
            </w:r>
            <w:r w:rsidRPr="006F27CF">
              <w:rPr>
                <w:sz w:val="28"/>
                <w:szCs w:val="28"/>
                <w:lang w:val="uk-UA"/>
              </w:rPr>
              <w:t>ПАТ</w:t>
            </w:r>
            <w:r w:rsidR="00DA2E64">
              <w:rPr>
                <w:sz w:val="28"/>
                <w:szCs w:val="28"/>
                <w:lang w:val="en-US"/>
              </w:rPr>
              <w:t> </w:t>
            </w:r>
            <w:r w:rsidRPr="006F27CF">
              <w:rPr>
                <w:sz w:val="28"/>
                <w:szCs w:val="28"/>
                <w:lang w:val="uk-UA"/>
              </w:rPr>
              <w:t>«СУМИГАЗ»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0"/>
                <w:lang w:val="uk-UA"/>
              </w:rPr>
              <w:t>зі</w:t>
            </w:r>
            <w:r w:rsidR="004626F8">
              <w:rPr>
                <w:iCs/>
                <w:sz w:val="28"/>
                <w:szCs w:val="20"/>
                <w:lang w:val="uk-UA"/>
              </w:rPr>
              <w:t xml:space="preserve"> встановлення</w:t>
            </w:r>
            <w:r w:rsidR="0068278C">
              <w:rPr>
                <w:iCs/>
                <w:sz w:val="28"/>
                <w:szCs w:val="20"/>
                <w:lang w:val="uk-UA"/>
              </w:rPr>
              <w:t xml:space="preserve"> (монтажу)</w:t>
            </w:r>
            <w:r>
              <w:rPr>
                <w:iCs/>
                <w:sz w:val="28"/>
                <w:szCs w:val="20"/>
                <w:lang w:val="uk-UA"/>
              </w:rPr>
              <w:t xml:space="preserve"> </w:t>
            </w:r>
            <w:r w:rsidR="004626F8">
              <w:rPr>
                <w:iCs/>
                <w:sz w:val="28"/>
                <w:szCs w:val="20"/>
                <w:lang w:val="uk-UA"/>
              </w:rPr>
              <w:t>будинкових (загальнобудинкових) вузлів обліку природного газу</w:t>
            </w:r>
          </w:p>
        </w:tc>
      </w:tr>
    </w:tbl>
    <w:p w:rsidR="00C4700D" w:rsidRPr="00C4700D" w:rsidRDefault="00C4700D" w:rsidP="00C4700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C4700D" w:rsidRPr="00EE619C" w:rsidRDefault="0012211B" w:rsidP="00057EB2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EE619C">
        <w:rPr>
          <w:sz w:val="28"/>
          <w:szCs w:val="28"/>
          <w:lang w:val="uk-UA"/>
        </w:rPr>
        <w:t>Ураховуючи складну ситуацію, що виникла в місті Суми з приводу встановлення (монтажу) будинкових</w:t>
      </w:r>
      <w:r w:rsidR="00EE619C">
        <w:rPr>
          <w:sz w:val="28"/>
          <w:szCs w:val="28"/>
          <w:lang w:val="uk-UA"/>
        </w:rPr>
        <w:t xml:space="preserve"> (загальнобудинкових)</w:t>
      </w:r>
      <w:r w:rsidRPr="00EE619C">
        <w:rPr>
          <w:sz w:val="28"/>
          <w:szCs w:val="28"/>
          <w:lang w:val="uk-UA"/>
        </w:rPr>
        <w:t xml:space="preserve"> вузлів обліку природного газу</w:t>
      </w:r>
      <w:r w:rsidR="00EE619C">
        <w:rPr>
          <w:sz w:val="28"/>
          <w:szCs w:val="28"/>
          <w:lang w:val="uk-UA"/>
        </w:rPr>
        <w:t xml:space="preserve"> (далі – будинкові вузли обліку)</w:t>
      </w:r>
      <w:r w:rsidRPr="00EE619C">
        <w:rPr>
          <w:sz w:val="28"/>
          <w:szCs w:val="28"/>
          <w:lang w:val="uk-UA"/>
        </w:rPr>
        <w:t>, з</w:t>
      </w:r>
      <w:r w:rsidR="00C4700D" w:rsidRPr="00C4700D">
        <w:rPr>
          <w:sz w:val="28"/>
          <w:szCs w:val="28"/>
          <w:lang w:val="uk-UA"/>
        </w:rPr>
        <w:t xml:space="preserve"> метою </w:t>
      </w:r>
      <w:r w:rsidRPr="00EE619C">
        <w:rPr>
          <w:sz w:val="28"/>
          <w:szCs w:val="28"/>
          <w:lang w:val="uk-UA"/>
        </w:rPr>
        <w:t>зняття соціальної напруги в цьому питанні</w:t>
      </w:r>
      <w:r w:rsidR="00ED2E7B" w:rsidRPr="00EE619C">
        <w:rPr>
          <w:sz w:val="28"/>
          <w:szCs w:val="28"/>
          <w:lang w:val="uk-UA"/>
        </w:rPr>
        <w:t xml:space="preserve">, </w:t>
      </w:r>
      <w:r w:rsidRPr="00EE619C">
        <w:rPr>
          <w:sz w:val="28"/>
          <w:szCs w:val="28"/>
          <w:lang w:val="uk-UA"/>
        </w:rPr>
        <w:t xml:space="preserve">відповідно до </w:t>
      </w:r>
      <w:r w:rsidR="00323808">
        <w:rPr>
          <w:sz w:val="28"/>
          <w:szCs w:val="28"/>
          <w:lang w:val="uk-UA"/>
        </w:rPr>
        <w:t>з</w:t>
      </w:r>
      <w:r w:rsidR="00EE619C" w:rsidRPr="00EE619C">
        <w:rPr>
          <w:sz w:val="28"/>
          <w:szCs w:val="28"/>
          <w:lang w:val="uk-UA"/>
        </w:rPr>
        <w:t xml:space="preserve">аконів України </w:t>
      </w:r>
      <w:r w:rsidR="00EE619C" w:rsidRPr="00EE619C">
        <w:rPr>
          <w:rStyle w:val="rvts23"/>
          <w:color w:val="000000"/>
          <w:sz w:val="28"/>
          <w:szCs w:val="28"/>
          <w:lang w:val="uk-UA"/>
        </w:rPr>
        <w:t>«Про забезпечення комерційного обліку природного газу»,</w:t>
      </w:r>
      <w:r w:rsidR="00EE619C" w:rsidRPr="00EE619C">
        <w:rPr>
          <w:sz w:val="28"/>
          <w:szCs w:val="28"/>
          <w:lang w:val="uk-UA"/>
        </w:rPr>
        <w:t xml:space="preserve"> «</w:t>
      </w:r>
      <w:r w:rsidR="00EE619C" w:rsidRPr="00EE619C">
        <w:rPr>
          <w:rStyle w:val="rvts23"/>
          <w:color w:val="000000"/>
          <w:sz w:val="28"/>
          <w:szCs w:val="28"/>
          <w:lang w:val="uk-UA"/>
        </w:rPr>
        <w:t>Про особливості здійснення права власності у багатоквартирному будинку»,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</w:t>
      </w:r>
      <w:r w:rsidR="000B16E8">
        <w:rPr>
          <w:rStyle w:val="rvts23"/>
          <w:color w:val="000000"/>
          <w:sz w:val="28"/>
          <w:szCs w:val="28"/>
          <w:lang w:val="uk-UA"/>
        </w:rPr>
        <w:t xml:space="preserve">                </w:t>
      </w:r>
      <w:r w:rsidR="00EE619C" w:rsidRPr="00EE619C">
        <w:rPr>
          <w:rStyle w:val="rvts23"/>
          <w:color w:val="000000"/>
          <w:sz w:val="28"/>
          <w:szCs w:val="28"/>
          <w:lang w:val="uk-UA"/>
        </w:rPr>
        <w:t xml:space="preserve"> № 2494,</w:t>
      </w:r>
      <w:r w:rsidR="00EE619C" w:rsidRPr="00EE619C">
        <w:rPr>
          <w:sz w:val="28"/>
          <w:szCs w:val="28"/>
          <w:lang w:val="uk-UA"/>
        </w:rPr>
        <w:t xml:space="preserve"> Тимчасового положення про порядок проведення розрахунків за надання населенню послуг з газопостачання в умовах використання загальнобудинкового вузла обліку, затвердженого постановою Кабінету Міністрів Укра</w:t>
      </w:r>
      <w:r w:rsidR="00653492">
        <w:rPr>
          <w:sz w:val="28"/>
          <w:szCs w:val="28"/>
          <w:lang w:val="uk-UA"/>
        </w:rPr>
        <w:t>їни від 16.05</w:t>
      </w:r>
      <w:r w:rsidR="00EE619C" w:rsidRPr="00EE619C">
        <w:rPr>
          <w:sz w:val="28"/>
          <w:szCs w:val="28"/>
          <w:lang w:val="uk-UA"/>
        </w:rPr>
        <w:t>.2002 № 620 (у редакції постанови Кабінету Міністрів України від 27.01.2016 № 46)</w:t>
      </w:r>
      <w:r w:rsidR="00A63EAE">
        <w:rPr>
          <w:sz w:val="28"/>
          <w:szCs w:val="28"/>
          <w:lang w:val="uk-UA"/>
        </w:rPr>
        <w:t>,</w:t>
      </w:r>
      <w:r w:rsidR="00EE619C" w:rsidRPr="00EE619C">
        <w:rPr>
          <w:sz w:val="28"/>
          <w:szCs w:val="28"/>
          <w:lang w:val="uk-UA"/>
        </w:rPr>
        <w:t xml:space="preserve"> </w:t>
      </w:r>
      <w:r w:rsidR="00ED2E7B" w:rsidRPr="00EE619C">
        <w:rPr>
          <w:sz w:val="28"/>
          <w:szCs w:val="28"/>
          <w:lang w:val="uk-UA"/>
        </w:rPr>
        <w:t>рішення Сумської міської ради від 25.01.2017 № 1688-МР «Про передачу житлових будинків (з допоміжними спорудами), співвласником яких є територіальна громада міста Суми, на балансовий облік департаменту інфраструкт</w:t>
      </w:r>
      <w:r w:rsidR="00EE619C" w:rsidRPr="00EE619C">
        <w:rPr>
          <w:sz w:val="28"/>
          <w:szCs w:val="28"/>
          <w:lang w:val="uk-UA"/>
        </w:rPr>
        <w:t xml:space="preserve">ури міста Сумської міської ради», </w:t>
      </w:r>
      <w:r w:rsidR="00C4700D" w:rsidRPr="00C4700D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C4700D" w:rsidRPr="00C4700D">
        <w:rPr>
          <w:b/>
          <w:bCs/>
          <w:sz w:val="28"/>
          <w:szCs w:val="28"/>
          <w:lang w:val="uk-UA"/>
        </w:rPr>
        <w:t>Сумська міська рада</w:t>
      </w:r>
    </w:p>
    <w:p w:rsidR="00C4700D" w:rsidRPr="00C4700D" w:rsidRDefault="00C4700D" w:rsidP="00C4700D">
      <w:pPr>
        <w:ind w:firstLine="540"/>
        <w:jc w:val="both"/>
        <w:rPr>
          <w:sz w:val="28"/>
          <w:szCs w:val="28"/>
          <w:lang w:val="uk-UA"/>
        </w:rPr>
      </w:pPr>
      <w:bookmarkStart w:id="0" w:name="n41"/>
      <w:bookmarkEnd w:id="0"/>
    </w:p>
    <w:p w:rsidR="00C4700D" w:rsidRPr="00C4700D" w:rsidRDefault="00C4700D" w:rsidP="00DA2E64">
      <w:pPr>
        <w:jc w:val="center"/>
        <w:rPr>
          <w:b/>
          <w:sz w:val="28"/>
          <w:szCs w:val="28"/>
          <w:lang w:val="uk-UA"/>
        </w:rPr>
      </w:pPr>
      <w:r w:rsidRPr="00C4700D">
        <w:rPr>
          <w:b/>
          <w:sz w:val="28"/>
          <w:szCs w:val="28"/>
          <w:lang w:val="uk-UA"/>
        </w:rPr>
        <w:t>ВИРІШИЛА:</w:t>
      </w:r>
    </w:p>
    <w:p w:rsidR="004117E8" w:rsidRPr="004117E8" w:rsidRDefault="004117E8" w:rsidP="004117E8">
      <w:pPr>
        <w:ind w:firstLine="426"/>
        <w:jc w:val="both"/>
        <w:rPr>
          <w:sz w:val="28"/>
          <w:szCs w:val="28"/>
          <w:lang w:val="uk-UA"/>
        </w:rPr>
      </w:pPr>
    </w:p>
    <w:p w:rsidR="004117E8" w:rsidRPr="00E05765" w:rsidRDefault="004117E8" w:rsidP="004117E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3674C">
        <w:rPr>
          <w:sz w:val="28"/>
          <w:szCs w:val="28"/>
          <w:lang w:val="uk-UA"/>
        </w:rPr>
        <w:t xml:space="preserve">Звернутися до </w:t>
      </w:r>
      <w:r>
        <w:rPr>
          <w:sz w:val="28"/>
          <w:szCs w:val="28"/>
          <w:lang w:val="uk-UA"/>
        </w:rPr>
        <w:t xml:space="preserve">Генерального прокурора України Луценка Ю.В., начальника Сумського відділу поліції ГУ НП в Сумській області Карабути П.І. </w:t>
      </w:r>
      <w:r w:rsidRPr="00A3674C">
        <w:rPr>
          <w:sz w:val="28"/>
          <w:szCs w:val="28"/>
          <w:lang w:val="uk-UA"/>
        </w:rPr>
        <w:lastRenderedPageBreak/>
        <w:t xml:space="preserve">щодо </w:t>
      </w:r>
      <w:r>
        <w:rPr>
          <w:sz w:val="28"/>
          <w:szCs w:val="28"/>
          <w:lang w:val="uk-UA"/>
        </w:rPr>
        <w:t xml:space="preserve">протиправних дій </w:t>
      </w:r>
      <w:r w:rsidRPr="006F27CF">
        <w:rPr>
          <w:sz w:val="28"/>
          <w:szCs w:val="28"/>
          <w:lang w:val="uk-UA"/>
        </w:rPr>
        <w:t>ПАТ «СУМИГАЗ»</w:t>
      </w: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0"/>
          <w:lang w:val="uk-UA"/>
        </w:rPr>
        <w:t>зі встановлення (монтажу) будинкових (загальнобудинкових) вузлів обліку природного газу</w:t>
      </w:r>
      <w:r w:rsidRPr="00A3674C">
        <w:rPr>
          <w:sz w:val="28"/>
          <w:szCs w:val="28"/>
          <w:lang w:val="uk-UA"/>
        </w:rPr>
        <w:t xml:space="preserve"> (текст звернення додається).</w:t>
      </w:r>
    </w:p>
    <w:p w:rsidR="00E05765" w:rsidRPr="00A3674C" w:rsidRDefault="00E05765" w:rsidP="00E05765">
      <w:pPr>
        <w:ind w:firstLine="426"/>
        <w:jc w:val="both"/>
        <w:rPr>
          <w:sz w:val="28"/>
          <w:szCs w:val="28"/>
          <w:lang w:val="uk-UA"/>
        </w:rPr>
      </w:pPr>
      <w:r w:rsidRPr="00A3674C">
        <w:rPr>
          <w:sz w:val="28"/>
          <w:szCs w:val="28"/>
          <w:lang w:val="uk-UA"/>
        </w:rPr>
        <w:t xml:space="preserve">2. Відділу з організації діяльності ради </w:t>
      </w:r>
      <w:r>
        <w:rPr>
          <w:sz w:val="28"/>
          <w:szCs w:val="28"/>
          <w:lang w:val="uk-UA"/>
        </w:rPr>
        <w:t xml:space="preserve">Сумської міської ради </w:t>
      </w:r>
      <w:r w:rsidRPr="00A3674C">
        <w:rPr>
          <w:sz w:val="28"/>
          <w:szCs w:val="28"/>
          <w:lang w:val="uk-UA"/>
        </w:rPr>
        <w:t xml:space="preserve">(Божко Н.Г.) направити дане рішення </w:t>
      </w:r>
      <w:r>
        <w:rPr>
          <w:sz w:val="28"/>
          <w:szCs w:val="28"/>
          <w:lang w:val="uk-UA"/>
        </w:rPr>
        <w:t>адресатам</w:t>
      </w:r>
      <w:r w:rsidRPr="00A3674C">
        <w:rPr>
          <w:sz w:val="28"/>
          <w:szCs w:val="28"/>
          <w:lang w:val="uk-UA"/>
        </w:rPr>
        <w:t>.</w:t>
      </w:r>
    </w:p>
    <w:p w:rsidR="00E05765" w:rsidRPr="00A3674C" w:rsidRDefault="00E05765" w:rsidP="00E05765">
      <w:pPr>
        <w:ind w:firstLine="426"/>
        <w:jc w:val="both"/>
        <w:rPr>
          <w:sz w:val="28"/>
          <w:szCs w:val="28"/>
          <w:lang w:val="uk-UA"/>
        </w:rPr>
      </w:pPr>
      <w:r w:rsidRPr="00A3674C">
        <w:rPr>
          <w:sz w:val="28"/>
          <w:szCs w:val="28"/>
          <w:lang w:val="uk-UA"/>
        </w:rPr>
        <w:t xml:space="preserve">3. Організацію виконання даного рішення покласти на </w:t>
      </w:r>
      <w:r>
        <w:rPr>
          <w:sz w:val="28"/>
          <w:szCs w:val="28"/>
          <w:lang w:val="uk-UA"/>
        </w:rPr>
        <w:t>секретаря Сумської міської ради Баранова А.В.</w:t>
      </w:r>
      <w:r w:rsidRPr="00A3674C">
        <w:rPr>
          <w:sz w:val="28"/>
          <w:szCs w:val="28"/>
          <w:lang w:val="uk-UA"/>
        </w:rPr>
        <w:t xml:space="preserve"> </w:t>
      </w:r>
    </w:p>
    <w:p w:rsidR="00E05765" w:rsidRDefault="00E05765" w:rsidP="00E05765">
      <w:pPr>
        <w:rPr>
          <w:sz w:val="28"/>
          <w:szCs w:val="28"/>
          <w:lang w:val="uk-UA"/>
        </w:rPr>
      </w:pPr>
    </w:p>
    <w:p w:rsidR="00574B36" w:rsidRDefault="00574B36" w:rsidP="00E05765">
      <w:pPr>
        <w:rPr>
          <w:sz w:val="28"/>
          <w:szCs w:val="28"/>
          <w:lang w:val="uk-UA"/>
        </w:rPr>
      </w:pPr>
    </w:p>
    <w:p w:rsidR="00DA2E64" w:rsidRDefault="00DA2E64" w:rsidP="00E05765">
      <w:pPr>
        <w:rPr>
          <w:sz w:val="28"/>
          <w:szCs w:val="28"/>
          <w:lang w:val="uk-UA"/>
        </w:rPr>
      </w:pPr>
    </w:p>
    <w:p w:rsidR="00574B36" w:rsidRDefault="00574B36" w:rsidP="00E05765">
      <w:pPr>
        <w:rPr>
          <w:sz w:val="28"/>
          <w:szCs w:val="28"/>
          <w:lang w:val="uk-UA"/>
        </w:rPr>
      </w:pPr>
    </w:p>
    <w:p w:rsidR="00E05765" w:rsidRDefault="00E05765" w:rsidP="00E05765">
      <w:pPr>
        <w:rPr>
          <w:sz w:val="28"/>
          <w:szCs w:val="28"/>
          <w:lang w:val="uk-UA"/>
        </w:rPr>
      </w:pPr>
      <w:r w:rsidRPr="00A3674C">
        <w:rPr>
          <w:sz w:val="28"/>
          <w:szCs w:val="28"/>
          <w:lang w:val="uk-UA"/>
        </w:rPr>
        <w:t xml:space="preserve">Сумський міський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О.М. Лисенко</w:t>
      </w:r>
    </w:p>
    <w:p w:rsidR="00E05765" w:rsidRDefault="00E05765" w:rsidP="00E05765">
      <w:pPr>
        <w:rPr>
          <w:sz w:val="28"/>
          <w:szCs w:val="28"/>
          <w:lang w:val="uk-UA"/>
        </w:rPr>
      </w:pPr>
    </w:p>
    <w:p w:rsidR="00AC5D36" w:rsidRPr="00AC5D36" w:rsidRDefault="00AC5D36" w:rsidP="00E05765">
      <w:pPr>
        <w:rPr>
          <w:lang w:val="uk-UA"/>
        </w:rPr>
      </w:pPr>
      <w:r w:rsidRPr="00AC5D36">
        <w:rPr>
          <w:lang w:val="uk-UA"/>
        </w:rPr>
        <w:t>Виконавець: Кубрак О.М.</w:t>
      </w:r>
    </w:p>
    <w:p w:rsidR="00E05765" w:rsidRDefault="00E05765" w:rsidP="00DA2E6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0"/>
          <w:lang w:val="uk-UA"/>
        </w:rPr>
      </w:pPr>
      <w:r w:rsidRPr="00574B36">
        <w:rPr>
          <w:lang w:val="uk-UA"/>
        </w:rPr>
        <w:br/>
      </w:r>
    </w:p>
    <w:p w:rsidR="00DA2E64" w:rsidRDefault="00DA2E64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C326B" w:rsidRPr="00823528" w:rsidRDefault="00AC326B" w:rsidP="00DA2E64">
      <w:pPr>
        <w:ind w:left="4820"/>
        <w:rPr>
          <w:sz w:val="28"/>
          <w:szCs w:val="28"/>
          <w:lang w:val="uk-UA"/>
        </w:rPr>
      </w:pPr>
      <w:r w:rsidRPr="00823528">
        <w:rPr>
          <w:sz w:val="28"/>
          <w:szCs w:val="28"/>
          <w:lang w:val="uk-UA"/>
        </w:rPr>
        <w:lastRenderedPageBreak/>
        <w:t xml:space="preserve">Додаток </w:t>
      </w:r>
    </w:p>
    <w:p w:rsidR="00AC326B" w:rsidRPr="00823528" w:rsidRDefault="00AC326B" w:rsidP="00DA2E64">
      <w:pPr>
        <w:ind w:left="4820"/>
        <w:jc w:val="both"/>
        <w:rPr>
          <w:sz w:val="28"/>
          <w:szCs w:val="28"/>
          <w:lang w:val="uk-UA"/>
        </w:rPr>
      </w:pPr>
      <w:r w:rsidRPr="00823528">
        <w:rPr>
          <w:sz w:val="28"/>
          <w:szCs w:val="28"/>
          <w:lang w:val="uk-UA"/>
        </w:rPr>
        <w:t xml:space="preserve">до рішення Сумської міської ради </w:t>
      </w:r>
    </w:p>
    <w:p w:rsidR="00DA2E64" w:rsidRDefault="00AC326B" w:rsidP="00DA2E64">
      <w:pPr>
        <w:ind w:left="4820"/>
        <w:jc w:val="both"/>
        <w:rPr>
          <w:rFonts w:eastAsia="Calibri"/>
          <w:sz w:val="28"/>
          <w:szCs w:val="28"/>
          <w:lang w:val="uk-UA"/>
        </w:rPr>
      </w:pPr>
      <w:r w:rsidRPr="0082352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звернення Сумської міської</w:t>
      </w:r>
      <w:r w:rsidRPr="00A3674C">
        <w:rPr>
          <w:sz w:val="28"/>
          <w:szCs w:val="28"/>
          <w:lang w:val="uk-UA"/>
        </w:rPr>
        <w:t xml:space="preserve"> ради до </w:t>
      </w:r>
      <w:r>
        <w:rPr>
          <w:sz w:val="28"/>
          <w:szCs w:val="28"/>
          <w:lang w:val="uk-UA"/>
        </w:rPr>
        <w:t xml:space="preserve">Генерального прокурора України Луценка Ю.В., начальника Сумського відділу поліції ГУ НП в Сумській області Карабути П.І. </w:t>
      </w:r>
      <w:r w:rsidRPr="00A3674C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протиправних дій </w:t>
      </w:r>
      <w:r w:rsidRPr="006F27CF">
        <w:rPr>
          <w:sz w:val="28"/>
          <w:szCs w:val="28"/>
          <w:lang w:val="uk-UA"/>
        </w:rPr>
        <w:t>ПАТ «СУМИГАЗ»</w:t>
      </w: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0"/>
          <w:lang w:val="uk-UA"/>
        </w:rPr>
        <w:t>зі встановлення (монтажу) будинкових (загальнобудинкових) вузлів обліку природного газу</w:t>
      </w:r>
      <w:r w:rsidRPr="00823528">
        <w:rPr>
          <w:sz w:val="28"/>
          <w:szCs w:val="28"/>
          <w:lang w:val="uk-UA"/>
        </w:rPr>
        <w:t>»</w:t>
      </w:r>
      <w:r w:rsidRPr="00823528">
        <w:rPr>
          <w:rFonts w:eastAsia="Calibri"/>
          <w:sz w:val="28"/>
          <w:szCs w:val="28"/>
          <w:lang w:val="uk-UA"/>
        </w:rPr>
        <w:t xml:space="preserve"> </w:t>
      </w:r>
    </w:p>
    <w:p w:rsidR="00DA2E64" w:rsidRPr="00C4700D" w:rsidRDefault="00DA2E64" w:rsidP="00DA2E64">
      <w:pPr>
        <w:widowControl w:val="0"/>
        <w:tabs>
          <w:tab w:val="left" w:pos="8447"/>
        </w:tabs>
        <w:autoSpaceDE w:val="0"/>
        <w:autoSpaceDN w:val="0"/>
        <w:adjustRightInd w:val="0"/>
        <w:ind w:left="4820"/>
        <w:jc w:val="both"/>
        <w:rPr>
          <w:bCs/>
          <w:sz w:val="28"/>
          <w:szCs w:val="28"/>
          <w:lang w:val="uk-UA"/>
        </w:rPr>
      </w:pPr>
      <w:r w:rsidRPr="00C4700D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14 червня</w:t>
      </w:r>
      <w:r w:rsidRPr="00C4700D">
        <w:rPr>
          <w:bCs/>
          <w:sz w:val="28"/>
          <w:szCs w:val="28"/>
          <w:lang w:val="uk-UA"/>
        </w:rPr>
        <w:t xml:space="preserve"> 2017 </w:t>
      </w:r>
      <w:r>
        <w:rPr>
          <w:bCs/>
          <w:sz w:val="28"/>
          <w:szCs w:val="28"/>
          <w:lang w:val="uk-UA"/>
        </w:rPr>
        <w:t xml:space="preserve"> </w:t>
      </w:r>
      <w:r w:rsidRPr="00C4700D">
        <w:rPr>
          <w:bCs/>
          <w:sz w:val="28"/>
          <w:szCs w:val="28"/>
          <w:lang w:val="uk-UA"/>
        </w:rPr>
        <w:t xml:space="preserve">року </w:t>
      </w:r>
      <w:r>
        <w:rPr>
          <w:bCs/>
          <w:sz w:val="28"/>
          <w:szCs w:val="28"/>
          <w:lang w:val="uk-UA"/>
        </w:rPr>
        <w:t xml:space="preserve"> </w:t>
      </w:r>
      <w:r w:rsidRPr="00C4700D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2227 – </w:t>
      </w:r>
      <w:r w:rsidRPr="00C4700D">
        <w:rPr>
          <w:bCs/>
          <w:sz w:val="28"/>
          <w:szCs w:val="28"/>
          <w:lang w:val="uk-UA"/>
        </w:rPr>
        <w:t>МР</w:t>
      </w:r>
    </w:p>
    <w:p w:rsidR="00AC326B" w:rsidRPr="00823528" w:rsidRDefault="00AC326B" w:rsidP="00AC326B">
      <w:pPr>
        <w:ind w:left="4820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AC326B" w:rsidRPr="00823528" w:rsidRDefault="00AC326B" w:rsidP="00AC326B">
      <w:pPr>
        <w:ind w:left="4820"/>
        <w:rPr>
          <w:sz w:val="28"/>
          <w:szCs w:val="28"/>
          <w:lang w:val="uk-UA"/>
        </w:rPr>
      </w:pPr>
      <w:r w:rsidRPr="00823528">
        <w:rPr>
          <w:sz w:val="28"/>
          <w:szCs w:val="28"/>
          <w:lang w:val="uk-UA"/>
        </w:rPr>
        <w:t xml:space="preserve">Генеральному прокурору України </w:t>
      </w:r>
    </w:p>
    <w:p w:rsidR="00AC326B" w:rsidRDefault="00AC326B" w:rsidP="00AC326B">
      <w:pPr>
        <w:ind w:left="4820"/>
        <w:rPr>
          <w:b/>
          <w:sz w:val="28"/>
          <w:szCs w:val="28"/>
          <w:lang w:val="uk-UA"/>
        </w:rPr>
      </w:pPr>
      <w:r w:rsidRPr="00823528">
        <w:rPr>
          <w:b/>
          <w:sz w:val="28"/>
          <w:szCs w:val="28"/>
          <w:lang w:val="uk-UA"/>
        </w:rPr>
        <w:t>Луценку Ю.В.</w:t>
      </w:r>
    </w:p>
    <w:p w:rsidR="00DA2E64" w:rsidRPr="00823528" w:rsidRDefault="00DA2E64" w:rsidP="00AC326B">
      <w:pPr>
        <w:ind w:left="4820"/>
        <w:rPr>
          <w:b/>
          <w:sz w:val="28"/>
          <w:szCs w:val="28"/>
          <w:lang w:val="uk-UA"/>
        </w:rPr>
      </w:pPr>
    </w:p>
    <w:p w:rsidR="00AC326B" w:rsidRPr="00823528" w:rsidRDefault="00AC326B" w:rsidP="00AC326B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Сумського відділу поліції ГУ НП в Сумській області</w:t>
      </w:r>
      <w:r w:rsidRPr="00823528">
        <w:rPr>
          <w:sz w:val="28"/>
          <w:szCs w:val="28"/>
          <w:lang w:val="uk-UA"/>
        </w:rPr>
        <w:t xml:space="preserve"> </w:t>
      </w:r>
    </w:p>
    <w:p w:rsidR="00AC326B" w:rsidRPr="00823528" w:rsidRDefault="00AC326B" w:rsidP="00AC326B">
      <w:pPr>
        <w:ind w:left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Карабуті П.І.</w:t>
      </w:r>
    </w:p>
    <w:p w:rsidR="00AC326B" w:rsidRPr="00823528" w:rsidRDefault="00AC326B" w:rsidP="00AC326B">
      <w:pPr>
        <w:rPr>
          <w:sz w:val="28"/>
          <w:szCs w:val="28"/>
          <w:lang w:val="uk-UA"/>
        </w:rPr>
      </w:pPr>
    </w:p>
    <w:p w:rsidR="00AC326B" w:rsidRDefault="00AC326B" w:rsidP="008E4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А</w:t>
      </w:r>
    </w:p>
    <w:p w:rsidR="00AC326B" w:rsidRPr="007F4D05" w:rsidRDefault="00AC326B" w:rsidP="008E406B">
      <w:pPr>
        <w:jc w:val="center"/>
        <w:rPr>
          <w:b/>
          <w:sz w:val="26"/>
          <w:szCs w:val="26"/>
        </w:rPr>
      </w:pPr>
      <w:r w:rsidRPr="007F4D05">
        <w:rPr>
          <w:b/>
          <w:sz w:val="26"/>
          <w:szCs w:val="26"/>
        </w:rPr>
        <w:t>про кримінальне правопорушення</w:t>
      </w:r>
    </w:p>
    <w:p w:rsidR="00AC326B" w:rsidRDefault="00AC326B" w:rsidP="00AC326B">
      <w:pPr>
        <w:jc w:val="both"/>
        <w:rPr>
          <w:color w:val="000000"/>
          <w:sz w:val="26"/>
          <w:szCs w:val="26"/>
        </w:rPr>
      </w:pPr>
    </w:p>
    <w:p w:rsidR="00AC326B" w:rsidRPr="00AC326B" w:rsidRDefault="00AC326B" w:rsidP="00AC326B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AC326B">
        <w:rPr>
          <w:rFonts w:eastAsiaTheme="minorHAnsi"/>
          <w:sz w:val="28"/>
          <w:szCs w:val="28"/>
          <w:lang w:val="uk-UA" w:eastAsia="en-US"/>
        </w:rPr>
        <w:t xml:space="preserve">Необхідність даного звернення викликана протиправними діями </w:t>
      </w:r>
      <w:r w:rsidR="002F3681">
        <w:rPr>
          <w:rFonts w:eastAsiaTheme="minorHAnsi"/>
          <w:sz w:val="28"/>
          <w:szCs w:val="28"/>
          <w:lang w:val="uk-UA" w:eastAsia="en-US"/>
        </w:rPr>
        <w:t>працівників</w:t>
      </w:r>
      <w:r w:rsidRPr="00AC326B">
        <w:rPr>
          <w:rFonts w:eastAsiaTheme="minorHAnsi"/>
          <w:sz w:val="28"/>
          <w:szCs w:val="28"/>
          <w:lang w:val="uk-UA" w:eastAsia="en-US"/>
        </w:rPr>
        <w:t xml:space="preserve"> ПАТ «Сумигаз» (м. Суми), які підпадають під ознаки кримінально караних дій, визначених ст. ст. </w:t>
      </w:r>
      <w:r w:rsidR="00F74B08">
        <w:rPr>
          <w:rFonts w:eastAsiaTheme="minorHAnsi"/>
          <w:sz w:val="28"/>
          <w:szCs w:val="28"/>
          <w:lang w:val="uk-UA" w:eastAsia="en-US"/>
        </w:rPr>
        <w:t>356</w:t>
      </w:r>
      <w:r w:rsidRPr="00AC326B">
        <w:rPr>
          <w:rFonts w:eastAsiaTheme="minorHAnsi"/>
          <w:sz w:val="28"/>
          <w:szCs w:val="28"/>
          <w:lang w:val="uk-UA" w:eastAsia="en-US"/>
        </w:rPr>
        <w:t xml:space="preserve"> Кримінального кодексу України.</w:t>
      </w:r>
    </w:p>
    <w:p w:rsidR="00AC326B" w:rsidRPr="00AC326B" w:rsidRDefault="00AC326B" w:rsidP="00AC326B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AC326B">
        <w:rPr>
          <w:rFonts w:eastAsiaTheme="minorHAnsi"/>
          <w:sz w:val="28"/>
          <w:szCs w:val="28"/>
          <w:lang w:val="uk-UA" w:eastAsia="en-US"/>
        </w:rPr>
        <w:t xml:space="preserve">До Сумської міської ради та </w:t>
      </w:r>
      <w:r w:rsidR="00F74B08" w:rsidRPr="00F74B08">
        <w:rPr>
          <w:rFonts w:eastAsiaTheme="minorHAnsi"/>
          <w:sz w:val="28"/>
          <w:szCs w:val="28"/>
          <w:lang w:val="uk-UA" w:eastAsia="en-US"/>
        </w:rPr>
        <w:t>робочої комісії з впорядкування питань щодо встановлення будинкових вузлів обліку природного газу Сумської міської ради</w:t>
      </w:r>
      <w:r w:rsidRPr="00AC326B">
        <w:rPr>
          <w:rFonts w:eastAsiaTheme="minorHAnsi"/>
          <w:sz w:val="28"/>
          <w:szCs w:val="28"/>
          <w:lang w:val="uk-UA" w:eastAsia="en-US"/>
        </w:rPr>
        <w:t xml:space="preserve"> </w:t>
      </w:r>
      <w:r w:rsidR="00F74B08">
        <w:rPr>
          <w:rFonts w:eastAsiaTheme="minorHAnsi"/>
          <w:sz w:val="28"/>
          <w:szCs w:val="28"/>
          <w:lang w:val="uk-UA" w:eastAsia="en-US"/>
        </w:rPr>
        <w:t>надійшли скарги мешканців будинків № 15/1 по площі Пришибській</w:t>
      </w:r>
      <w:r w:rsidR="003F567F">
        <w:rPr>
          <w:rFonts w:eastAsiaTheme="minorHAnsi"/>
          <w:sz w:val="28"/>
          <w:szCs w:val="28"/>
          <w:lang w:val="uk-UA" w:eastAsia="en-US"/>
        </w:rPr>
        <w:t>, № 14 по вул. К. Зеленко</w:t>
      </w:r>
      <w:r w:rsidR="00F74B08">
        <w:rPr>
          <w:rFonts w:eastAsiaTheme="minorHAnsi"/>
          <w:sz w:val="28"/>
          <w:szCs w:val="28"/>
          <w:lang w:val="uk-UA" w:eastAsia="en-US"/>
        </w:rPr>
        <w:t xml:space="preserve"> та № 3 по вулиці Металургів в м. Суми</w:t>
      </w:r>
      <w:r w:rsidRPr="00AC326B">
        <w:rPr>
          <w:rFonts w:eastAsiaTheme="minorHAnsi"/>
          <w:sz w:val="28"/>
          <w:szCs w:val="28"/>
          <w:lang w:val="uk-UA" w:eastAsia="en-US"/>
        </w:rPr>
        <w:t xml:space="preserve">, щодо неправомірних дій ПАТ «Сумигаз» з приводу встановлення </w:t>
      </w:r>
      <w:r w:rsidR="00DC5BD1">
        <w:rPr>
          <w:rFonts w:eastAsiaTheme="minorHAnsi"/>
          <w:sz w:val="28"/>
          <w:szCs w:val="28"/>
          <w:lang w:val="uk-UA" w:eastAsia="en-US"/>
        </w:rPr>
        <w:t>загальнобудинкових лічильників</w:t>
      </w:r>
      <w:r w:rsidRPr="00AC326B">
        <w:rPr>
          <w:rFonts w:eastAsiaTheme="minorHAnsi"/>
          <w:sz w:val="28"/>
          <w:szCs w:val="28"/>
          <w:lang w:val="uk-UA" w:eastAsia="en-US"/>
        </w:rPr>
        <w:t xml:space="preserve"> газу</w:t>
      </w:r>
      <w:r w:rsidR="00DC5BD1">
        <w:rPr>
          <w:rFonts w:eastAsiaTheme="minorHAnsi"/>
          <w:sz w:val="28"/>
          <w:szCs w:val="28"/>
          <w:lang w:val="uk-UA" w:eastAsia="en-US"/>
        </w:rPr>
        <w:t xml:space="preserve"> без погодження з власниками будинків та навіть без їх повідомлення</w:t>
      </w:r>
      <w:r w:rsidRPr="00AC326B">
        <w:rPr>
          <w:rFonts w:eastAsiaTheme="minorHAnsi"/>
          <w:sz w:val="28"/>
          <w:szCs w:val="28"/>
          <w:lang w:val="uk-UA" w:eastAsia="en-US"/>
        </w:rPr>
        <w:t>.</w:t>
      </w:r>
    </w:p>
    <w:p w:rsidR="003F567F" w:rsidRDefault="003F567F" w:rsidP="00AC326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Так, 22.05.2017 року працівники ПАТ «Сумигаз» близько 10-ї години ранку без жодного повідомлення та погодження з власниками будинку встановили загальнобудинковий лічильник газу по вул. Металургів, 3 в м. Суми.</w:t>
      </w:r>
    </w:p>
    <w:p w:rsidR="003F567F" w:rsidRDefault="00747C65" w:rsidP="00AC326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Ідентична</w:t>
      </w:r>
      <w:r w:rsidR="003F567F">
        <w:rPr>
          <w:color w:val="000000"/>
          <w:sz w:val="28"/>
          <w:szCs w:val="28"/>
          <w:lang w:val="uk-UA"/>
        </w:rPr>
        <w:t xml:space="preserve"> ситуація відбулася </w:t>
      </w:r>
      <w:r w:rsidR="002F3681">
        <w:rPr>
          <w:color w:val="000000"/>
          <w:sz w:val="28"/>
          <w:szCs w:val="28"/>
          <w:lang w:val="uk-UA"/>
        </w:rPr>
        <w:t xml:space="preserve">24.05.2017 року по площі Пришибській, 15/1 та </w:t>
      </w:r>
      <w:r>
        <w:rPr>
          <w:color w:val="000000"/>
          <w:sz w:val="28"/>
          <w:szCs w:val="28"/>
          <w:lang w:val="uk-UA"/>
        </w:rPr>
        <w:t xml:space="preserve">25.04.2017 року </w:t>
      </w:r>
      <w:r w:rsidR="002F3681">
        <w:rPr>
          <w:color w:val="000000"/>
          <w:sz w:val="28"/>
          <w:szCs w:val="28"/>
          <w:lang w:val="uk-UA"/>
        </w:rPr>
        <w:t>по вул. К.Зеленко, 14 в м. Суми.</w:t>
      </w:r>
    </w:p>
    <w:p w:rsidR="00DC5BD1" w:rsidRPr="00822982" w:rsidRDefault="003F567F" w:rsidP="00AC326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DC5BD1">
        <w:rPr>
          <w:color w:val="000000"/>
          <w:sz w:val="28"/>
          <w:szCs w:val="28"/>
          <w:lang w:val="uk-UA"/>
        </w:rPr>
        <w:t>гідно</w:t>
      </w:r>
      <w:r w:rsidR="00DC5BD1" w:rsidRPr="00D1180B">
        <w:rPr>
          <w:color w:val="000000"/>
          <w:sz w:val="28"/>
          <w:szCs w:val="28"/>
          <w:lang w:val="uk-UA"/>
        </w:rPr>
        <w:t xml:space="preserve"> абз</w:t>
      </w:r>
      <w:r w:rsidR="00AC5D36">
        <w:rPr>
          <w:color w:val="000000"/>
          <w:sz w:val="28"/>
          <w:szCs w:val="28"/>
          <w:lang w:val="uk-UA"/>
        </w:rPr>
        <w:t>ацу</w:t>
      </w:r>
      <w:r w:rsidR="00DC5BD1" w:rsidRPr="00D1180B">
        <w:rPr>
          <w:color w:val="000000"/>
          <w:sz w:val="28"/>
          <w:szCs w:val="28"/>
          <w:lang w:val="uk-UA"/>
        </w:rPr>
        <w:t xml:space="preserve"> 2 п</w:t>
      </w:r>
      <w:r w:rsidR="00AC5D36">
        <w:rPr>
          <w:color w:val="000000"/>
          <w:sz w:val="28"/>
          <w:szCs w:val="28"/>
          <w:lang w:val="uk-UA"/>
        </w:rPr>
        <w:t>ункту</w:t>
      </w:r>
      <w:r w:rsidR="00DC5BD1">
        <w:rPr>
          <w:color w:val="000000"/>
          <w:sz w:val="28"/>
          <w:szCs w:val="28"/>
          <w:lang w:val="uk-UA"/>
        </w:rPr>
        <w:t xml:space="preserve"> </w:t>
      </w:r>
      <w:r w:rsidR="00DC5BD1" w:rsidRPr="00D1180B">
        <w:rPr>
          <w:color w:val="000000"/>
          <w:sz w:val="28"/>
          <w:szCs w:val="28"/>
          <w:lang w:val="uk-UA"/>
        </w:rPr>
        <w:t xml:space="preserve">6 </w:t>
      </w:r>
      <w:r w:rsidR="00DC5BD1" w:rsidRPr="00D1180B">
        <w:rPr>
          <w:sz w:val="28"/>
          <w:szCs w:val="28"/>
          <w:lang w:val="uk-UA"/>
        </w:rPr>
        <w:t>гл</w:t>
      </w:r>
      <w:r w:rsidR="00AC5D36">
        <w:rPr>
          <w:sz w:val="28"/>
          <w:szCs w:val="28"/>
          <w:lang w:val="uk-UA"/>
        </w:rPr>
        <w:t>ави</w:t>
      </w:r>
      <w:r w:rsidR="00DC5BD1" w:rsidRPr="00D1180B">
        <w:rPr>
          <w:sz w:val="28"/>
          <w:szCs w:val="28"/>
          <w:lang w:val="uk-UA"/>
        </w:rPr>
        <w:t xml:space="preserve"> 3 </w:t>
      </w:r>
      <w:r w:rsidR="00DC5BD1" w:rsidRPr="00031A70">
        <w:rPr>
          <w:rFonts w:eastAsiaTheme="minorHAnsi"/>
          <w:sz w:val="28"/>
          <w:szCs w:val="28"/>
          <w:lang w:val="uk-UA" w:eastAsia="en-US"/>
        </w:rPr>
        <w:t>розд</w:t>
      </w:r>
      <w:r w:rsidR="00AC5D36">
        <w:rPr>
          <w:rFonts w:eastAsiaTheme="minorHAnsi"/>
          <w:sz w:val="28"/>
          <w:szCs w:val="28"/>
          <w:lang w:val="uk-UA" w:eastAsia="en-US"/>
        </w:rPr>
        <w:t>ілу</w:t>
      </w:r>
      <w:r w:rsidR="00DC5BD1" w:rsidRPr="00031A70">
        <w:rPr>
          <w:rFonts w:eastAsiaTheme="minorHAnsi"/>
          <w:sz w:val="28"/>
          <w:szCs w:val="28"/>
          <w:lang w:val="uk-UA" w:eastAsia="en-US"/>
        </w:rPr>
        <w:t xml:space="preserve"> ХІ </w:t>
      </w:r>
      <w:r w:rsidR="00031A70" w:rsidRPr="00031A70">
        <w:rPr>
          <w:rFonts w:eastAsiaTheme="minorHAnsi"/>
          <w:sz w:val="28"/>
          <w:szCs w:val="28"/>
          <w:lang w:val="uk-UA" w:eastAsia="en-US"/>
        </w:rPr>
        <w:t>Кодексу газорозподільних систем, затвердженого постановою НКРЕКП від 30.09.2015р. № 2494</w:t>
      </w:r>
      <w:r w:rsidR="00DC5BD1" w:rsidRPr="00031A70">
        <w:rPr>
          <w:rFonts w:eastAsiaTheme="minorHAnsi"/>
          <w:sz w:val="28"/>
          <w:szCs w:val="28"/>
          <w:lang w:val="uk-UA" w:eastAsia="en-US"/>
        </w:rPr>
        <w:t xml:space="preserve"> ознайомлення побутового споживача із запланованими датою та часом</w:t>
      </w:r>
      <w:r w:rsidR="00DC5BD1" w:rsidRPr="00D1180B">
        <w:rPr>
          <w:color w:val="000000"/>
          <w:sz w:val="28"/>
          <w:szCs w:val="28"/>
          <w:lang w:val="uk-UA"/>
        </w:rPr>
        <w:t xml:space="preserve"> встановлення лічильника газу має </w:t>
      </w:r>
      <w:r w:rsidR="00DC5BD1" w:rsidRPr="00D1180B">
        <w:rPr>
          <w:color w:val="000000"/>
          <w:sz w:val="28"/>
          <w:szCs w:val="28"/>
          <w:u w:val="single"/>
          <w:lang w:val="uk-UA"/>
        </w:rPr>
        <w:t>бути підтверджено позначкою про вручення йому письмового попередження про встановлення лічильника газу</w:t>
      </w:r>
      <w:r w:rsidR="00DC5BD1" w:rsidRPr="00D1180B">
        <w:rPr>
          <w:color w:val="000000"/>
          <w:sz w:val="28"/>
          <w:szCs w:val="28"/>
          <w:lang w:val="uk-UA"/>
        </w:rPr>
        <w:t xml:space="preserve">, яке має бути надане побутовому споживачеві не пізніше ніж за десять робочих днів до запланованої дати встановлення лічильника газу.  </w:t>
      </w:r>
    </w:p>
    <w:p w:rsidR="00822982" w:rsidRPr="00822982" w:rsidRDefault="003F567F" w:rsidP="0082298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22982">
        <w:rPr>
          <w:color w:val="000000"/>
          <w:sz w:val="28"/>
          <w:szCs w:val="28"/>
          <w:lang w:val="uk-UA"/>
        </w:rPr>
        <w:lastRenderedPageBreak/>
        <w:t xml:space="preserve">Однак, </w:t>
      </w:r>
      <w:r w:rsidR="002F3681" w:rsidRPr="00822982">
        <w:rPr>
          <w:color w:val="000000"/>
          <w:sz w:val="28"/>
          <w:szCs w:val="28"/>
          <w:lang w:val="uk-UA"/>
        </w:rPr>
        <w:t>мешканці відповідних будинків</w:t>
      </w:r>
      <w:r w:rsidRPr="00822982">
        <w:rPr>
          <w:color w:val="000000"/>
          <w:sz w:val="28"/>
          <w:szCs w:val="28"/>
          <w:lang w:val="uk-UA"/>
        </w:rPr>
        <w:t xml:space="preserve"> не отримували жодного </w:t>
      </w:r>
      <w:r w:rsidR="002F3681" w:rsidRPr="00822982">
        <w:rPr>
          <w:color w:val="000000"/>
          <w:sz w:val="28"/>
          <w:szCs w:val="28"/>
          <w:lang w:val="uk-UA"/>
        </w:rPr>
        <w:t>попередження про встановлення загальнобудинкових лічильників газу та не знали про вищевказані дії ПАТ «Сумигаз».</w:t>
      </w:r>
    </w:p>
    <w:p w:rsidR="000C14F8" w:rsidRPr="00822982" w:rsidRDefault="002F3681" w:rsidP="0082298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22982">
        <w:rPr>
          <w:color w:val="000000"/>
          <w:sz w:val="28"/>
          <w:szCs w:val="28"/>
          <w:lang w:val="uk-UA"/>
        </w:rPr>
        <w:t xml:space="preserve">Відповідно до частини другої статті 382 Цивільного кодексу України </w:t>
      </w:r>
      <w:r w:rsidR="000C14F8" w:rsidRPr="00822982">
        <w:rPr>
          <w:color w:val="000000"/>
          <w:sz w:val="28"/>
          <w:szCs w:val="28"/>
          <w:lang w:val="uk-UA"/>
        </w:rPr>
        <w:t>усі власники квартир та нежитлових приміщень у багатоквартирному будинку є співвласниками на праві спільної сумісної власності спільного майна багатоквартирного будинку. Спільним майном багатоквартирного будинку є приміщення загального користування (у тому числі допоміжні), несучі, огороджувальні та несуче-огороджувальні конструкції будинку, механічне, електричне, сантехнічне та інше обладнання всередині або за межами будинку, яке обслуговує більше одного житлового або нежитлового приміщення, а також будівлі і споруди, які призначені для задоволення потреб усіх співвласників багатоквартирного будинку та розташовані на прибудинковій території, а також права на земельну ділянку, на якій розташований багатоквартирний будинок та його прибудинкова територія, у разі державної реєстрації таких прав.</w:t>
      </w:r>
    </w:p>
    <w:p w:rsidR="002F3681" w:rsidRPr="00822982" w:rsidRDefault="002F3681" w:rsidP="0082298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22982">
        <w:rPr>
          <w:color w:val="000000"/>
          <w:sz w:val="28"/>
          <w:szCs w:val="28"/>
          <w:lang w:val="uk-UA"/>
        </w:rPr>
        <w:t>Разом з цим, пунктом 5 частини першої статті 5 Закону України «Про особливості здійснення права власності у багатоквартирному будинку» визначено що співвласниками багатоквартирного будинку є власники квартир або нежитлових приміщень у багатоквартирному будинку.</w:t>
      </w:r>
    </w:p>
    <w:p w:rsidR="002F3681" w:rsidRPr="00822982" w:rsidRDefault="002F3681" w:rsidP="0082298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22982">
        <w:rPr>
          <w:color w:val="000000"/>
          <w:sz w:val="28"/>
          <w:szCs w:val="28"/>
          <w:lang w:val="uk-UA"/>
        </w:rPr>
        <w:t>Також з вказаним узгоджується рішення Конституційного Суду України від 09.11.2011 № 14-рп/2011, яким визначено, що правовим регулюванням відносин спільної сумісної власності в Україні визначаються особливості здійснення прав власників виходячи з її правового режиму. Ці особливості полягають у різних формах реалізації відповідного права, зокрема, при спільній сумісній власності – шляхом взаємного волевиявлення усіх співвласників.</w:t>
      </w:r>
    </w:p>
    <w:p w:rsidR="00DC5BD1" w:rsidRPr="00822982" w:rsidRDefault="002F3681" w:rsidP="0082298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22982">
        <w:rPr>
          <w:color w:val="000000"/>
          <w:sz w:val="28"/>
          <w:szCs w:val="28"/>
          <w:lang w:val="uk-UA"/>
        </w:rPr>
        <w:t xml:space="preserve">Отже, </w:t>
      </w:r>
      <w:r w:rsidR="000C14F8" w:rsidRPr="00822982">
        <w:rPr>
          <w:color w:val="000000"/>
          <w:sz w:val="28"/>
          <w:szCs w:val="28"/>
          <w:lang w:val="uk-UA"/>
        </w:rPr>
        <w:t>лише за згодою мешканців відповідних будинків працівники ПАТ «Сумигаз» мали б право встановлювати загальнобудинкові вузли обліку природного газу</w:t>
      </w:r>
      <w:r w:rsidR="00822982" w:rsidRPr="00822982">
        <w:rPr>
          <w:color w:val="000000"/>
          <w:sz w:val="28"/>
          <w:szCs w:val="28"/>
          <w:lang w:val="uk-UA"/>
        </w:rPr>
        <w:t>, однак такої згоди отримано не було.</w:t>
      </w:r>
    </w:p>
    <w:p w:rsidR="00822982" w:rsidRPr="00822982" w:rsidRDefault="00AC326B" w:rsidP="0082298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22982">
        <w:rPr>
          <w:color w:val="000000"/>
          <w:sz w:val="28"/>
          <w:szCs w:val="28"/>
          <w:lang w:val="uk-UA"/>
        </w:rPr>
        <w:t xml:space="preserve">Аналогічні незаконні дії </w:t>
      </w:r>
      <w:r w:rsidR="000C14F8" w:rsidRPr="00822982">
        <w:rPr>
          <w:color w:val="000000"/>
          <w:sz w:val="28"/>
          <w:szCs w:val="28"/>
          <w:lang w:val="uk-UA"/>
        </w:rPr>
        <w:t>працівників ПАТ «Сумигаз»</w:t>
      </w:r>
      <w:r w:rsidRPr="00822982">
        <w:rPr>
          <w:color w:val="000000"/>
          <w:sz w:val="28"/>
          <w:szCs w:val="28"/>
          <w:lang w:val="uk-UA"/>
        </w:rPr>
        <w:t xml:space="preserve"> вчиняються і щодо мешканців інших будинків нашого міста. Люди доведені до відчаю зухвалими та протиправними діями ПАТ «Сумигаз», що може призвести до соціального вибуху загальноміського значення, тому, звертаємось до Вас, </w:t>
      </w:r>
      <w:r w:rsidR="00822982" w:rsidRPr="00822982">
        <w:rPr>
          <w:color w:val="000000"/>
          <w:sz w:val="28"/>
          <w:szCs w:val="28"/>
          <w:lang w:val="uk-UA"/>
        </w:rPr>
        <w:t xml:space="preserve">як до уповноваженого представника органу, покликаного згідно Конституції України, Закону України «Про Національну поліцію» здійснювати забезпечення охорони прав і свобод людини, протидії злочинності та просимо припините це свавілля! </w:t>
      </w:r>
    </w:p>
    <w:p w:rsidR="00AC326B" w:rsidRPr="00822982" w:rsidRDefault="00AC326B" w:rsidP="0082298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22982">
        <w:rPr>
          <w:color w:val="000000"/>
          <w:sz w:val="28"/>
          <w:szCs w:val="28"/>
          <w:lang w:val="uk-UA"/>
        </w:rPr>
        <w:t>На підставі викладеного, просимо Вас, в порядку ст. 214 Кримінального процесуального кодексу України, внести відповідні відомості до Єдиного реєстру досудових розслідувань та розпочати розслідування вищенаведених обставин.</w:t>
      </w:r>
    </w:p>
    <w:p w:rsidR="00AC326B" w:rsidRPr="00DA2E64" w:rsidRDefault="00AC326B" w:rsidP="00DA2E64">
      <w:pPr>
        <w:jc w:val="both"/>
        <w:rPr>
          <w:color w:val="000000"/>
          <w:sz w:val="28"/>
          <w:szCs w:val="28"/>
          <w:lang w:val="uk-UA"/>
        </w:rPr>
      </w:pPr>
    </w:p>
    <w:p w:rsidR="00DA2E64" w:rsidRPr="00DA2E64" w:rsidRDefault="00DA2E64" w:rsidP="00DA2E64">
      <w:pPr>
        <w:jc w:val="both"/>
        <w:rPr>
          <w:color w:val="000000"/>
          <w:sz w:val="28"/>
          <w:szCs w:val="28"/>
          <w:lang w:val="uk-UA"/>
        </w:rPr>
      </w:pPr>
    </w:p>
    <w:p w:rsidR="00AC326B" w:rsidRPr="00DA2E64" w:rsidRDefault="00AC326B" w:rsidP="00DA2E64">
      <w:pPr>
        <w:rPr>
          <w:sz w:val="28"/>
          <w:szCs w:val="28"/>
        </w:rPr>
      </w:pPr>
    </w:p>
    <w:p w:rsidR="00AC326B" w:rsidRDefault="00AC326B" w:rsidP="00AC326B">
      <w:pPr>
        <w:rPr>
          <w:sz w:val="28"/>
          <w:szCs w:val="28"/>
          <w:lang w:val="uk-UA"/>
        </w:rPr>
      </w:pPr>
      <w:r w:rsidRPr="00DC5BD1">
        <w:rPr>
          <w:sz w:val="28"/>
          <w:szCs w:val="28"/>
          <w:lang w:val="uk-UA"/>
        </w:rPr>
        <w:t>С</w:t>
      </w:r>
      <w:r w:rsidR="00DA2E64">
        <w:rPr>
          <w:sz w:val="28"/>
          <w:szCs w:val="28"/>
          <w:lang w:val="uk-UA"/>
        </w:rPr>
        <w:t>екретар Сумської міської ради</w:t>
      </w:r>
      <w:r w:rsidRPr="00DC5BD1">
        <w:rPr>
          <w:sz w:val="28"/>
          <w:szCs w:val="28"/>
          <w:lang w:val="uk-UA"/>
        </w:rPr>
        <w:t xml:space="preserve">                                                     </w:t>
      </w:r>
      <w:r w:rsidR="00DA2E64">
        <w:rPr>
          <w:sz w:val="28"/>
          <w:szCs w:val="28"/>
          <w:lang w:val="uk-UA"/>
        </w:rPr>
        <w:t>А.В. Баранов</w:t>
      </w:r>
    </w:p>
    <w:p w:rsidR="00FA0286" w:rsidRPr="00AC5D36" w:rsidRDefault="00AC5D36" w:rsidP="00FA0286">
      <w:pPr>
        <w:rPr>
          <w:lang w:val="uk-UA"/>
        </w:rPr>
      </w:pPr>
      <w:r w:rsidRPr="00AC5D36">
        <w:rPr>
          <w:lang w:val="uk-UA"/>
        </w:rPr>
        <w:t>Виконавець: Кубрак О.М.</w:t>
      </w:r>
      <w:bookmarkStart w:id="1" w:name="_GoBack"/>
      <w:bookmarkEnd w:id="1"/>
    </w:p>
    <w:sectPr w:rsidR="00FA0286" w:rsidRPr="00AC5D36" w:rsidSect="00AC5D36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7F" w:rsidRDefault="00FD457F" w:rsidP="00AC326B">
      <w:r>
        <w:separator/>
      </w:r>
    </w:p>
  </w:endnote>
  <w:endnote w:type="continuationSeparator" w:id="0">
    <w:p w:rsidR="00FD457F" w:rsidRDefault="00FD457F" w:rsidP="00AC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7F" w:rsidRDefault="00FD457F" w:rsidP="00AC326B">
      <w:r>
        <w:separator/>
      </w:r>
    </w:p>
  </w:footnote>
  <w:footnote w:type="continuationSeparator" w:id="0">
    <w:p w:rsidR="00FD457F" w:rsidRDefault="00FD457F" w:rsidP="00AC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58EA"/>
    <w:multiLevelType w:val="hybridMultilevel"/>
    <w:tmpl w:val="1D968CCA"/>
    <w:lvl w:ilvl="0" w:tplc="B9903F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6A05911"/>
    <w:multiLevelType w:val="hybridMultilevel"/>
    <w:tmpl w:val="11ECEDF4"/>
    <w:lvl w:ilvl="0" w:tplc="3956E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7B72"/>
    <w:rsid w:val="00031A70"/>
    <w:rsid w:val="0004104D"/>
    <w:rsid w:val="00052592"/>
    <w:rsid w:val="00052B7A"/>
    <w:rsid w:val="00057EB2"/>
    <w:rsid w:val="000939B6"/>
    <w:rsid w:val="000B16E8"/>
    <w:rsid w:val="000C14F8"/>
    <w:rsid w:val="00103724"/>
    <w:rsid w:val="0011364E"/>
    <w:rsid w:val="0012211B"/>
    <w:rsid w:val="00204695"/>
    <w:rsid w:val="002230C4"/>
    <w:rsid w:val="0023204F"/>
    <w:rsid w:val="002D3E4E"/>
    <w:rsid w:val="002F3681"/>
    <w:rsid w:val="00302110"/>
    <w:rsid w:val="003114B5"/>
    <w:rsid w:val="00323808"/>
    <w:rsid w:val="003801C3"/>
    <w:rsid w:val="003B114A"/>
    <w:rsid w:val="003D59E4"/>
    <w:rsid w:val="003F567F"/>
    <w:rsid w:val="004117E8"/>
    <w:rsid w:val="004626F8"/>
    <w:rsid w:val="00470B6C"/>
    <w:rsid w:val="00477B55"/>
    <w:rsid w:val="004822D3"/>
    <w:rsid w:val="004B6728"/>
    <w:rsid w:val="00534497"/>
    <w:rsid w:val="00536D87"/>
    <w:rsid w:val="00557F40"/>
    <w:rsid w:val="00574B36"/>
    <w:rsid w:val="00653492"/>
    <w:rsid w:val="0068278C"/>
    <w:rsid w:val="006F27CF"/>
    <w:rsid w:val="007054F6"/>
    <w:rsid w:val="00747C65"/>
    <w:rsid w:val="00754B98"/>
    <w:rsid w:val="00791ECF"/>
    <w:rsid w:val="00822982"/>
    <w:rsid w:val="00866C1A"/>
    <w:rsid w:val="008A0E25"/>
    <w:rsid w:val="008D2CAB"/>
    <w:rsid w:val="008E406B"/>
    <w:rsid w:val="008F65E3"/>
    <w:rsid w:val="0092075D"/>
    <w:rsid w:val="00945741"/>
    <w:rsid w:val="009A195A"/>
    <w:rsid w:val="00A00A5C"/>
    <w:rsid w:val="00A63EAE"/>
    <w:rsid w:val="00AC326B"/>
    <w:rsid w:val="00AC49FC"/>
    <w:rsid w:val="00AC5D36"/>
    <w:rsid w:val="00B52119"/>
    <w:rsid w:val="00BD3C1D"/>
    <w:rsid w:val="00BE56F4"/>
    <w:rsid w:val="00C21AB6"/>
    <w:rsid w:val="00C4700D"/>
    <w:rsid w:val="00D53F15"/>
    <w:rsid w:val="00D8083D"/>
    <w:rsid w:val="00DA19E8"/>
    <w:rsid w:val="00DA2E64"/>
    <w:rsid w:val="00DC5BD1"/>
    <w:rsid w:val="00DF5F44"/>
    <w:rsid w:val="00E05765"/>
    <w:rsid w:val="00ED2B54"/>
    <w:rsid w:val="00ED2E7B"/>
    <w:rsid w:val="00EE5362"/>
    <w:rsid w:val="00EE619C"/>
    <w:rsid w:val="00F10D55"/>
    <w:rsid w:val="00F74B08"/>
    <w:rsid w:val="00F760A0"/>
    <w:rsid w:val="00F96D8C"/>
    <w:rsid w:val="00FA0286"/>
    <w:rsid w:val="00FB33C1"/>
    <w:rsid w:val="00FD457F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62BF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C326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3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326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FA0286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qFormat/>
    <w:rsid w:val="00FA0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AE1F-A989-4D50-B5FF-E8488A5B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Конікова Світлана Анатоліївна</cp:lastModifiedBy>
  <cp:revision>10</cp:revision>
  <cp:lastPrinted>2017-06-14T13:46:00Z</cp:lastPrinted>
  <dcterms:created xsi:type="dcterms:W3CDTF">2017-05-30T09:49:00Z</dcterms:created>
  <dcterms:modified xsi:type="dcterms:W3CDTF">2017-06-14T13:47:00Z</dcterms:modified>
</cp:coreProperties>
</file>