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C436FE">
        <w:rPr>
          <w:sz w:val="28"/>
          <w:szCs w:val="28"/>
          <w:lang w:val="uk-UA"/>
        </w:rPr>
        <w:t>19 грудня 2018 року</w:t>
      </w:r>
      <w:r w:rsidR="002900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EB520D">
        <w:rPr>
          <w:sz w:val="28"/>
          <w:szCs w:val="28"/>
          <w:lang w:val="uk-UA"/>
        </w:rPr>
        <w:t xml:space="preserve">  </w:t>
      </w:r>
      <w:r w:rsidR="00C436FE">
        <w:rPr>
          <w:sz w:val="28"/>
          <w:szCs w:val="28"/>
          <w:lang w:val="uk-UA"/>
        </w:rPr>
        <w:t>4319-МР</w:t>
      </w:r>
      <w:bookmarkStart w:id="0" w:name="_GoBack"/>
      <w:bookmarkEnd w:id="0"/>
      <w:r w:rsidR="00EB520D">
        <w:rPr>
          <w:sz w:val="28"/>
          <w:szCs w:val="28"/>
          <w:lang w:val="uk-UA"/>
        </w:rPr>
        <w:t xml:space="preserve">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C436FE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C436FE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C436FE">
              <w:rPr>
                <w:rFonts w:eastAsia="Calibri"/>
                <w:b/>
                <w:sz w:val="28"/>
                <w:szCs w:val="28"/>
                <w:lang w:val="uk-UA" w:eastAsia="en-US"/>
              </w:rPr>
              <w:t>927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,55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C436FE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C436FE">
              <w:rPr>
                <w:rFonts w:eastAsia="Calibri"/>
                <w:b/>
                <w:sz w:val="28"/>
                <w:szCs w:val="28"/>
                <w:lang w:val="uk-UA" w:eastAsia="en-US"/>
              </w:rPr>
              <w:t>468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2900B7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228</w:t>
            </w:r>
            <w:r w:rsidR="004273B1">
              <w:rPr>
                <w:b/>
                <w:sz w:val="28"/>
                <w:szCs w:val="28"/>
                <w:lang w:val="uk-UA"/>
              </w:rPr>
              <w:t>,92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2900B7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888902,63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2900B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76228,92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D12324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</w:t>
            </w:r>
            <w:r w:rsidR="00C436FE">
              <w:rPr>
                <w:rFonts w:eastAsia="Calibri"/>
                <w:b/>
                <w:lang w:val="en-US" w:eastAsia="en-US"/>
              </w:rPr>
              <w:t>46541</w:t>
            </w:r>
            <w:r w:rsidR="00297845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44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lang w:val="uk-UA" w:eastAsia="en-US"/>
              </w:rPr>
              <w:t>8</w:t>
            </w:r>
            <w:r w:rsidR="00C436FE">
              <w:rPr>
                <w:rFonts w:eastAsia="Calibri"/>
                <w:b/>
                <w:lang w:val="en-US" w:eastAsia="en-US"/>
              </w:rPr>
              <w:t>6</w:t>
            </w:r>
            <w:r w:rsidR="00C436FE">
              <w:rPr>
                <w:rFonts w:eastAsia="Calibri"/>
                <w:b/>
                <w:lang w:val="uk-UA" w:eastAsia="en-US"/>
              </w:rPr>
              <w:t> </w:t>
            </w:r>
            <w:r w:rsidR="00C436FE">
              <w:rPr>
                <w:rFonts w:eastAsia="Calibri"/>
                <w:b/>
                <w:lang w:val="en-US" w:eastAsia="en-US"/>
              </w:rPr>
              <w:t>468</w:t>
            </w:r>
            <w:r w:rsidR="00C436FE">
              <w:rPr>
                <w:rFonts w:eastAsia="Calibri"/>
                <w:b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lang w:val="uk-UA" w:eastAsia="en-US"/>
              </w:rPr>
              <w:t>6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2900B7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76228,92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1808BB">
        <w:rPr>
          <w:bCs/>
          <w:sz w:val="28"/>
          <w:szCs w:val="28"/>
          <w:lang w:val="uk-UA"/>
        </w:rPr>
        <w:t>Сумський міський голова</w:t>
      </w:r>
      <w:r w:rsidRPr="001808BB">
        <w:rPr>
          <w:bCs/>
          <w:sz w:val="28"/>
          <w:szCs w:val="28"/>
          <w:lang w:val="uk-UA"/>
        </w:rPr>
        <w:tab/>
        <w:t>О. М. 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>Виконавець: Яременко Г.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5A2"/>
    <w:rsid w:val="001B5BCF"/>
    <w:rsid w:val="001D71E9"/>
    <w:rsid w:val="001F268B"/>
    <w:rsid w:val="001F79CC"/>
    <w:rsid w:val="002019BD"/>
    <w:rsid w:val="00226E61"/>
    <w:rsid w:val="00232AA3"/>
    <w:rsid w:val="00241533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436FE"/>
    <w:rsid w:val="00C60DFA"/>
    <w:rsid w:val="00C7348C"/>
    <w:rsid w:val="00C9241E"/>
    <w:rsid w:val="00CA2379"/>
    <w:rsid w:val="00CB7999"/>
    <w:rsid w:val="00CC0896"/>
    <w:rsid w:val="00CC7D79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2BAB-8249-4F09-A65C-2253F9A5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15</cp:revision>
  <cp:lastPrinted>2018-12-20T09:11:00Z</cp:lastPrinted>
  <dcterms:created xsi:type="dcterms:W3CDTF">2018-09-25T05:21:00Z</dcterms:created>
  <dcterms:modified xsi:type="dcterms:W3CDTF">2018-12-20T09:19:00Z</dcterms:modified>
</cp:coreProperties>
</file>