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05" w:rsidRPr="008617D2" w:rsidRDefault="001D346B" w:rsidP="00A002B7">
      <w:pPr>
        <w:pStyle w:val="a7"/>
        <w:ind w:left="4678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8617D2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A002B7" w:rsidRPr="008617D2" w:rsidRDefault="00A002B7" w:rsidP="00A002B7">
      <w:pPr>
        <w:pStyle w:val="a7"/>
        <w:ind w:left="4678"/>
        <w:rPr>
          <w:rFonts w:ascii="Times New Roman" w:hAnsi="Times New Roman"/>
          <w:sz w:val="26"/>
          <w:szCs w:val="26"/>
          <w:lang w:val="uk-UA"/>
        </w:rPr>
      </w:pPr>
      <w:r w:rsidRPr="008617D2">
        <w:rPr>
          <w:rFonts w:ascii="Times New Roman" w:hAnsi="Times New Roman"/>
          <w:sz w:val="26"/>
          <w:szCs w:val="26"/>
          <w:lang w:val="uk-UA"/>
        </w:rPr>
        <w:t>до рішення Сумської міської ради «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Про Міську програму «Автоматизація муніципальних телекомунікаційних систем на 20</w:t>
      </w:r>
      <w:r w:rsidR="00FC025A" w:rsidRPr="008617D2">
        <w:rPr>
          <w:rFonts w:ascii="Times New Roman" w:hAnsi="Times New Roman"/>
          <w:sz w:val="26"/>
          <w:szCs w:val="26"/>
          <w:lang w:val="uk-UA"/>
        </w:rPr>
        <w:t>20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-20</w:t>
      </w:r>
      <w:r w:rsidR="00FC025A" w:rsidRPr="008617D2">
        <w:rPr>
          <w:rFonts w:ascii="Times New Roman" w:hAnsi="Times New Roman"/>
          <w:sz w:val="26"/>
          <w:szCs w:val="26"/>
          <w:lang w:val="uk-UA"/>
        </w:rPr>
        <w:t>22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 xml:space="preserve"> роки </w:t>
      </w:r>
      <w:r w:rsidR="008617D2" w:rsidRPr="008617D2">
        <w:rPr>
          <w:rFonts w:ascii="Times New Roman" w:hAnsi="Times New Roman"/>
          <w:sz w:val="26"/>
          <w:szCs w:val="26"/>
          <w:lang w:val="uk-UA"/>
        </w:rPr>
        <w:t>Сумської міської об’єднаної територіальної громади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»</w:t>
      </w:r>
    </w:p>
    <w:p w:rsidR="00F76751" w:rsidRPr="002331A7" w:rsidRDefault="009A6EE0" w:rsidP="00A002B7">
      <w:pPr>
        <w:pStyle w:val="a7"/>
        <w:ind w:left="4678"/>
        <w:rPr>
          <w:rFonts w:ascii="Times New Roman" w:hAnsi="Times New Roman"/>
          <w:sz w:val="28"/>
          <w:szCs w:val="28"/>
          <w:lang w:val="uk-UA"/>
        </w:rPr>
      </w:pPr>
      <w:r w:rsidRPr="008617D2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617D2" w:rsidRPr="008617D2">
        <w:rPr>
          <w:rFonts w:ascii="Times New Roman" w:hAnsi="Times New Roman"/>
          <w:sz w:val="26"/>
          <w:szCs w:val="26"/>
          <w:lang w:val="uk-UA"/>
        </w:rPr>
        <w:t>13 листопада</w:t>
      </w:r>
      <w:r w:rsidRPr="008617D2">
        <w:rPr>
          <w:rFonts w:ascii="Times New Roman" w:hAnsi="Times New Roman"/>
          <w:sz w:val="26"/>
          <w:szCs w:val="26"/>
          <w:lang w:val="uk-UA"/>
        </w:rPr>
        <w:t xml:space="preserve"> 201</w:t>
      </w:r>
      <w:r w:rsidR="00FC025A" w:rsidRPr="008617D2">
        <w:rPr>
          <w:rFonts w:ascii="Times New Roman" w:hAnsi="Times New Roman"/>
          <w:sz w:val="26"/>
          <w:szCs w:val="26"/>
          <w:lang w:val="uk-UA"/>
        </w:rPr>
        <w:t>9</w:t>
      </w:r>
      <w:r w:rsidRPr="008617D2">
        <w:rPr>
          <w:rFonts w:ascii="Times New Roman" w:hAnsi="Times New Roman"/>
          <w:sz w:val="26"/>
          <w:szCs w:val="26"/>
          <w:lang w:val="uk-UA"/>
        </w:rPr>
        <w:t xml:space="preserve"> року № </w:t>
      </w:r>
      <w:r w:rsidR="008617D2" w:rsidRPr="008617D2">
        <w:rPr>
          <w:rFonts w:ascii="Times New Roman" w:hAnsi="Times New Roman"/>
          <w:sz w:val="26"/>
          <w:szCs w:val="26"/>
          <w:lang w:val="uk-UA"/>
        </w:rPr>
        <w:t>5845</w:t>
      </w:r>
      <w:r w:rsidRPr="008617D2">
        <w:rPr>
          <w:rFonts w:ascii="Times New Roman" w:hAnsi="Times New Roman"/>
          <w:sz w:val="26"/>
          <w:szCs w:val="26"/>
          <w:lang w:val="uk-UA"/>
        </w:rPr>
        <w:t>-МР</w:t>
      </w:r>
    </w:p>
    <w:p w:rsidR="00A002B7" w:rsidRPr="008617D2" w:rsidRDefault="00A002B7" w:rsidP="00EC0C2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Міська програма</w:t>
      </w:r>
    </w:p>
    <w:p w:rsidR="008617D2" w:rsidRDefault="00EC0C2E" w:rsidP="00EA2EF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«</w:t>
      </w:r>
      <w:r w:rsidR="00EA2EF6" w:rsidRPr="00EE6E39">
        <w:rPr>
          <w:rFonts w:ascii="Times New Roman" w:hAnsi="Times New Roman"/>
          <w:b/>
          <w:sz w:val="28"/>
          <w:szCs w:val="28"/>
          <w:lang w:val="uk-UA"/>
        </w:rPr>
        <w:t>Автоматизація муніципальних телекомунікаційних систем</w:t>
      </w:r>
      <w:r w:rsidR="008617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17D2" w:rsidRDefault="00EA2EF6" w:rsidP="00EA2EF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22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 роки </w:t>
      </w:r>
      <w:r w:rsidR="008617D2" w:rsidRPr="008617D2">
        <w:rPr>
          <w:rFonts w:ascii="Times New Roman" w:hAnsi="Times New Roman"/>
          <w:b/>
          <w:sz w:val="28"/>
          <w:szCs w:val="28"/>
          <w:lang w:val="uk-UA"/>
        </w:rPr>
        <w:t>Сумської міської об’єднаної</w:t>
      </w:r>
    </w:p>
    <w:p w:rsidR="00EC0C2E" w:rsidRPr="00EE6E39" w:rsidRDefault="008617D2" w:rsidP="00EA2EF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617D2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="00EC0C2E" w:rsidRPr="00EE6E3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C0C2E" w:rsidRPr="008617D2" w:rsidRDefault="00EC0C2E" w:rsidP="00EC0C2E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1. Загальна характеристика програми</w:t>
      </w:r>
    </w:p>
    <w:p w:rsidR="00425B96" w:rsidRPr="008617D2" w:rsidRDefault="00425B96" w:rsidP="0014360E">
      <w:pPr>
        <w:pStyle w:val="a7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EDC" w:rsidRDefault="0014360E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Міська програма «Автоматиз</w:t>
      </w:r>
      <w:r w:rsidR="00FD4E77">
        <w:rPr>
          <w:rFonts w:ascii="Times New Roman" w:hAnsi="Times New Roman"/>
          <w:sz w:val="28"/>
          <w:szCs w:val="28"/>
          <w:lang w:val="uk-UA"/>
        </w:rPr>
        <w:t>ація муніципальних телекомуніка</w:t>
      </w:r>
      <w:r w:rsidRPr="00EE6E39">
        <w:rPr>
          <w:rFonts w:ascii="Times New Roman" w:hAnsi="Times New Roman"/>
          <w:sz w:val="28"/>
          <w:szCs w:val="28"/>
          <w:lang w:val="uk-UA"/>
        </w:rPr>
        <w:t>ційних систем на 20</w:t>
      </w:r>
      <w:r w:rsidR="00FC025A">
        <w:rPr>
          <w:rFonts w:ascii="Times New Roman" w:hAnsi="Times New Roman"/>
          <w:sz w:val="28"/>
          <w:szCs w:val="28"/>
          <w:lang w:val="uk-UA"/>
        </w:rPr>
        <w:t>20</w:t>
      </w:r>
      <w:r w:rsidRPr="00EE6E39">
        <w:rPr>
          <w:rFonts w:ascii="Times New Roman" w:hAnsi="Times New Roman"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sz w:val="28"/>
          <w:szCs w:val="28"/>
          <w:lang w:val="uk-UA"/>
        </w:rPr>
        <w:t>22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8617D2">
        <w:rPr>
          <w:rFonts w:ascii="Times New Roman" w:hAnsi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EE6E39">
        <w:rPr>
          <w:rFonts w:ascii="Times New Roman" w:hAnsi="Times New Roman"/>
          <w:sz w:val="28"/>
          <w:szCs w:val="28"/>
          <w:lang w:val="uk-UA"/>
        </w:rPr>
        <w:t>» (надалі – Програма) - це с</w:t>
      </w:r>
      <w:r w:rsidR="007C4EDC">
        <w:rPr>
          <w:rFonts w:ascii="Times New Roman" w:hAnsi="Times New Roman"/>
          <w:sz w:val="28"/>
          <w:szCs w:val="28"/>
          <w:lang w:val="uk-UA"/>
        </w:rPr>
        <w:t>интез інформаційно-комунікаційних технологій спрямованих на: забезпечення комунікацій між громадянами, бізнесом  і владою; безперешкодний доступ до публічної інформації; сприяння участі громадян у процесах управління містом; покращенню якості надання послуг населенню та наближенню їх до вимог мешканців.</w:t>
      </w:r>
    </w:p>
    <w:p w:rsidR="00634228" w:rsidRDefault="007C4EDC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ради, підпорядкованих виконавчим органам комунальних підприємств, організацій та закладів</w:t>
      </w:r>
      <w:r w:rsidR="00634228">
        <w:rPr>
          <w:rFonts w:ascii="Times New Roman" w:hAnsi="Times New Roman"/>
          <w:sz w:val="28"/>
          <w:szCs w:val="28"/>
          <w:lang w:val="uk-UA"/>
        </w:rPr>
        <w:t>.</w:t>
      </w:r>
    </w:p>
    <w:p w:rsidR="0014360E" w:rsidRPr="00EE6E39" w:rsidRDefault="00634228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інформаційно-комунікаційні технології все ширше використовуються в повсякденному житті </w:t>
      </w:r>
      <w:r w:rsidR="007C4E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сумчан, житлово-комунальному господарстві, системах охорони здоров’я, освіти та культури. Все частіше мешканці міста використовують їх для направлення звернень до міської ради, ознайомлення з роботою органів влади, повідомлення про проблемні питання та ін.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1. Паспорт Програми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237474" w:rsidRPr="00961398" w:rsidTr="002331A7">
        <w:trPr>
          <w:cantSplit/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розробки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</w:tr>
      <w:tr w:rsidR="00237474" w:rsidRPr="008617D2" w:rsidTr="002331A7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рядчого документа про роз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робку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Рішення Сумсь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кої міської ради від 2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лютого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2012 №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1207-МР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«Про 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Положення про Порядок розробки, затвердження та виконання міських цільових (комплексних) програм, 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програми економічного і соціального розвитку міста Суми та виконання міського бюджету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</w:p>
        </w:tc>
      </w:tr>
      <w:tr w:rsidR="00237474" w:rsidRPr="00961398" w:rsidTr="002331A7">
        <w:trPr>
          <w:cantSplit/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ind w:right="-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Міський замовник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31A7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Сумська міська рада</w:t>
            </w:r>
          </w:p>
        </w:tc>
      </w:tr>
      <w:tr w:rsidR="00EC0C2E" w:rsidRPr="00961398" w:rsidTr="002331A7">
        <w:trPr>
          <w:cantSplit/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79758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</w:p>
        </w:tc>
      </w:tr>
      <w:tr w:rsidR="00EC0C2E" w:rsidRPr="008617D2" w:rsidTr="002331A7">
        <w:trPr>
          <w:cantSplit/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Співрозробники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бухгалтерського обліку та звітності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</w:p>
        </w:tc>
      </w:tr>
      <w:tr w:rsidR="00EC0C2E" w:rsidRPr="008617D2" w:rsidTr="002331A7">
        <w:trPr>
          <w:cantSplit/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Відповідальні виконавці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CD60BE" w:rsidRDefault="00A002B7" w:rsidP="00C210B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</w:t>
            </w:r>
            <w:r w:rsidR="002331A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, відділ бухгалтерського обліку та звітності</w:t>
            </w:r>
            <w:r w:rsidR="002331A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2331A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головний виконавець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департамент фінансів, економіки та інвестицій Сумської міської ради, департамент інфраструктури Сумської міської ради, департамент забезпечення ресурсних платежів Сумської міської ради, </w:t>
            </w:r>
            <w:r w:rsidR="00476EFC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 соціального захисту населення, 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служба у справах дітей Сумської міської ради, управління «Інспекція з благоустрою міста Суми»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архітектури та містобудування Сумської міської ради, управління державного архітектурно-будівельного контролю Сумської міської ради, відділ культури та туризму Сумської міської ради, відділ охорони здоров’я Сумської міської ради</w:t>
            </w:r>
          </w:p>
        </w:tc>
      </w:tr>
      <w:tr w:rsidR="00EC0C2E" w:rsidRPr="00961398" w:rsidTr="002331A7">
        <w:trPr>
          <w:cantSplit/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FC025A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EA2EF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роки)</w:t>
            </w:r>
          </w:p>
        </w:tc>
      </w:tr>
      <w:tr w:rsidR="00EC0C2E" w:rsidRPr="00961398" w:rsidTr="002331A7">
        <w:trPr>
          <w:cantSplit/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Перелік бюджетів, які бе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руть участь у виконанні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8617D2" w:rsidP="008617D2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юджет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</w:tr>
      <w:tr w:rsidR="00EC0C2E" w:rsidRPr="00961398" w:rsidTr="002331A7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267E6B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FD4E77" w:rsidRDefault="00EC0C2E" w:rsidP="00267E6B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рограми,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1F4C59" w:rsidRPr="001F4C59">
              <w:rPr>
                <w:rFonts w:ascii="Times New Roman" w:hAnsi="Times New Roman"/>
                <w:sz w:val="26"/>
                <w:szCs w:val="26"/>
              </w:rPr>
              <w:t>5</w:t>
            </w:r>
            <w:r w:rsidR="00E24F6D" w:rsidRPr="00E24F6D">
              <w:rPr>
                <w:rFonts w:ascii="Times New Roman" w:hAnsi="Times New Roman"/>
                <w:sz w:val="26"/>
                <w:szCs w:val="26"/>
              </w:rPr>
              <w:t>1265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 w:rsidRPr="001F4C59">
              <w:rPr>
                <w:rFonts w:ascii="Times New Roman" w:hAnsi="Times New Roman"/>
                <w:sz w:val="26"/>
                <w:szCs w:val="26"/>
              </w:rPr>
              <w:t>98</w:t>
            </w:r>
            <w:r w:rsidR="004469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EC0C2E" w:rsidRPr="00961398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E24F6D" w:rsidRPr="008617D2">
              <w:rPr>
                <w:rFonts w:ascii="Times New Roman" w:hAnsi="Times New Roman"/>
                <w:sz w:val="26"/>
                <w:szCs w:val="26"/>
              </w:rPr>
              <w:t>49307</w:t>
            </w:r>
            <w:r w:rsidR="00846F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  <w:r w:rsidR="008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ис. грн.</w:t>
            </w:r>
          </w:p>
          <w:p w:rsidR="00EC0C2E" w:rsidRPr="00961398" w:rsidRDefault="00267E6B" w:rsidP="00FD281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рік — 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49773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67E6B" w:rsidRPr="00961398" w:rsidRDefault="00267E6B" w:rsidP="001F4C5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52184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  <w:tr w:rsidR="00267E6B" w:rsidRPr="00961398" w:rsidTr="002331A7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6B" w:rsidRPr="00961398" w:rsidRDefault="00267E6B" w:rsidP="00267E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6B" w:rsidRPr="00961398" w:rsidRDefault="00267E6B" w:rsidP="008617D2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коштів бюджету</w:t>
            </w:r>
            <w:r w:rsidR="008617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617D2"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B" w:rsidRPr="00961398" w:rsidRDefault="004F421B" w:rsidP="004F421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1F4C59" w:rsidRPr="001F4C59">
              <w:rPr>
                <w:rFonts w:ascii="Times New Roman" w:hAnsi="Times New Roman"/>
                <w:sz w:val="26"/>
                <w:szCs w:val="26"/>
              </w:rPr>
              <w:t>5</w:t>
            </w:r>
            <w:r w:rsidR="00E24F6D">
              <w:rPr>
                <w:rFonts w:ascii="Times New Roman" w:hAnsi="Times New Roman"/>
                <w:sz w:val="26"/>
                <w:szCs w:val="26"/>
              </w:rPr>
              <w:t>1265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 w:rsidRPr="001F4C59">
              <w:rPr>
                <w:rFonts w:ascii="Times New Roman" w:hAnsi="Times New Roman"/>
                <w:sz w:val="26"/>
                <w:szCs w:val="26"/>
              </w:rPr>
              <w:t>98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4469B6" w:rsidRPr="00961398" w:rsidRDefault="004469B6" w:rsidP="004469B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E24F6D" w:rsidRPr="008617D2">
              <w:rPr>
                <w:rFonts w:ascii="Times New Roman" w:hAnsi="Times New Roman"/>
                <w:sz w:val="26"/>
                <w:szCs w:val="26"/>
              </w:rPr>
              <w:t>9307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  <w:r w:rsidR="008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4469B6" w:rsidRPr="00961398" w:rsidRDefault="004469B6" w:rsidP="004469B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рік — 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49773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67E6B" w:rsidRPr="00961398" w:rsidRDefault="004469B6" w:rsidP="001F4C5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52184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</w:tbl>
    <w:p w:rsidR="00EC0C2E" w:rsidRDefault="00EC0C2E" w:rsidP="00EC0C2E">
      <w:pPr>
        <w:pStyle w:val="a7"/>
        <w:ind w:firstLine="851"/>
        <w:jc w:val="both"/>
        <w:rPr>
          <w:rFonts w:ascii="Times New Roman" w:hAnsi="Times New Roman"/>
          <w:b/>
        </w:rPr>
      </w:pPr>
    </w:p>
    <w:p w:rsidR="008617D2" w:rsidRDefault="008617D2" w:rsidP="00EC0C2E">
      <w:pPr>
        <w:pStyle w:val="a7"/>
        <w:ind w:firstLine="851"/>
        <w:jc w:val="both"/>
        <w:rPr>
          <w:rFonts w:ascii="Times New Roman" w:hAnsi="Times New Roman"/>
          <w:b/>
        </w:rPr>
      </w:pPr>
    </w:p>
    <w:p w:rsidR="008617D2" w:rsidRPr="00961398" w:rsidRDefault="008617D2" w:rsidP="00EC0C2E">
      <w:pPr>
        <w:pStyle w:val="a7"/>
        <w:ind w:firstLine="851"/>
        <w:jc w:val="both"/>
        <w:rPr>
          <w:rFonts w:ascii="Times New Roman" w:hAnsi="Times New Roman"/>
          <w:b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2. Ресурсне забезпечення Програми</w:t>
      </w:r>
    </w:p>
    <w:p w:rsidR="00BE621D" w:rsidRPr="00EE6E39" w:rsidRDefault="00BE621D" w:rsidP="00BE621D">
      <w:pPr>
        <w:pStyle w:val="a7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EE6E3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E6E39">
        <w:rPr>
          <w:rFonts w:ascii="Times New Roman" w:hAnsi="Times New Roman"/>
          <w:sz w:val="28"/>
          <w:szCs w:val="28"/>
          <w:lang w:val="uk-UA"/>
        </w:rPr>
        <w:t>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EA2EF6" w:rsidRPr="00961398" w:rsidTr="002331A7">
        <w:tc>
          <w:tcPr>
            <w:tcW w:w="2943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коштів на ви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витрат на виконання про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грами</w:t>
            </w:r>
          </w:p>
        </w:tc>
      </w:tr>
      <w:tr w:rsidR="00EA2EF6" w:rsidRPr="00961398" w:rsidTr="002331A7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FC025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4C4B69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FC025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(прогноз)</w:t>
            </w:r>
          </w:p>
        </w:tc>
        <w:tc>
          <w:tcPr>
            <w:tcW w:w="1417" w:type="dxa"/>
          </w:tcPr>
          <w:p w:rsidR="00EA2EF6" w:rsidRPr="00961398" w:rsidRDefault="00EA2EF6" w:rsidP="00FC025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(прогноз)</w:t>
            </w:r>
          </w:p>
        </w:tc>
        <w:tc>
          <w:tcPr>
            <w:tcW w:w="2014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ресурсів, усьо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1F4C59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E24F6D">
              <w:rPr>
                <w:rFonts w:ascii="Times New Roman" w:hAnsi="Times New Roman"/>
                <w:sz w:val="26"/>
                <w:szCs w:val="26"/>
                <w:lang w:val="uk-UA"/>
              </w:rPr>
              <w:t>9307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1F4C59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49773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1417" w:type="dxa"/>
          </w:tcPr>
          <w:p w:rsidR="00EA2EF6" w:rsidRPr="00961398" w:rsidRDefault="001F4C59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52184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014" w:type="dxa"/>
            <w:shd w:val="clear" w:color="auto" w:fill="auto"/>
          </w:tcPr>
          <w:p w:rsidR="00EA2EF6" w:rsidRPr="001F4C59" w:rsidRDefault="00CD60BE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1F4C59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E24F6D">
              <w:rPr>
                <w:rFonts w:ascii="Times New Roman" w:hAnsi="Times New Roman"/>
                <w:sz w:val="26"/>
                <w:szCs w:val="26"/>
              </w:rPr>
              <w:t>1265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en-US"/>
              </w:rPr>
              <w:t>98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4469B6" w:rsidRPr="00961398" w:rsidTr="002331A7">
        <w:trPr>
          <w:trHeight w:val="255"/>
        </w:trPr>
        <w:tc>
          <w:tcPr>
            <w:tcW w:w="2943" w:type="dxa"/>
            <w:shd w:val="clear" w:color="auto" w:fill="auto"/>
          </w:tcPr>
          <w:p w:rsidR="004469B6" w:rsidRPr="00961398" w:rsidRDefault="004469B6" w:rsidP="004469B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8617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617D2"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469B6" w:rsidRPr="00961398" w:rsidRDefault="001F4C59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E24F6D">
              <w:rPr>
                <w:rFonts w:ascii="Times New Roman" w:hAnsi="Times New Roman"/>
                <w:sz w:val="26"/>
                <w:szCs w:val="26"/>
                <w:lang w:val="uk-UA"/>
              </w:rPr>
              <w:t>9307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1390" w:type="dxa"/>
            <w:shd w:val="clear" w:color="auto" w:fill="auto"/>
          </w:tcPr>
          <w:p w:rsidR="004469B6" w:rsidRPr="00961398" w:rsidRDefault="001F4C59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49773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1417" w:type="dxa"/>
          </w:tcPr>
          <w:p w:rsidR="004469B6" w:rsidRPr="001F4C59" w:rsidRDefault="001F4C59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52184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014" w:type="dxa"/>
            <w:shd w:val="clear" w:color="auto" w:fill="auto"/>
          </w:tcPr>
          <w:p w:rsidR="004469B6" w:rsidRPr="001F4C59" w:rsidRDefault="00CD60BE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1F4C5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E24F6D">
              <w:rPr>
                <w:rFonts w:ascii="Times New Roman" w:hAnsi="Times New Roman"/>
                <w:sz w:val="26"/>
                <w:szCs w:val="26"/>
                <w:lang w:val="uk-UA"/>
              </w:rPr>
              <w:t>1265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1F4C59">
              <w:rPr>
                <w:rFonts w:ascii="Times New Roman" w:hAnsi="Times New Roman"/>
                <w:sz w:val="26"/>
                <w:szCs w:val="26"/>
                <w:lang w:val="en-US"/>
              </w:rPr>
              <w:t>98</w:t>
            </w:r>
          </w:p>
        </w:tc>
      </w:tr>
    </w:tbl>
    <w:p w:rsidR="006C504B" w:rsidRPr="00EE6E39" w:rsidRDefault="006C504B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2. Визначення проблем, на розв’язання яких спрямована Про</w:t>
      </w:r>
      <w:r w:rsidR="00424E96" w:rsidRPr="00EE6E39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b/>
          <w:sz w:val="28"/>
          <w:szCs w:val="28"/>
          <w:lang w:val="uk-UA"/>
        </w:rPr>
        <w:t>грама</w:t>
      </w:r>
    </w:p>
    <w:p w:rsidR="00797589" w:rsidRPr="00EE6E39" w:rsidRDefault="00797589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>Аналітики стверджують, що в стандартній ситуації більше 70% ІТ-бюджету витрачається на підтримку інфраструктури - серверів, мереж, операційних систем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накопичувачів.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D087C">
        <w:rPr>
          <w:rFonts w:ascii="Times New Roman" w:hAnsi="Times New Roman"/>
          <w:sz w:val="28"/>
          <w:szCs w:val="28"/>
          <w:lang w:val="uk-UA"/>
        </w:rPr>
        <w:t>озуміючи необхідн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оптимізаці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ІТ-інфраструктури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приведення її до </w:t>
      </w:r>
      <w:r w:rsidRPr="004D087C">
        <w:rPr>
          <w:rFonts w:ascii="Times New Roman" w:hAnsi="Times New Roman"/>
          <w:sz w:val="28"/>
          <w:szCs w:val="28"/>
          <w:lang w:val="uk-UA"/>
        </w:rPr>
        <w:t>ефективною з економічної сторони</w:t>
      </w:r>
      <w:r w:rsidR="006759B2">
        <w:rPr>
          <w:rFonts w:ascii="Times New Roman" w:hAnsi="Times New Roman"/>
          <w:sz w:val="28"/>
          <w:szCs w:val="28"/>
          <w:lang w:val="uk-UA"/>
        </w:rPr>
        <w:t xml:space="preserve"> стану</w:t>
      </w:r>
      <w:r w:rsidRPr="004D087C">
        <w:rPr>
          <w:rFonts w:ascii="Times New Roman" w:hAnsi="Times New Roman"/>
          <w:sz w:val="28"/>
          <w:szCs w:val="28"/>
          <w:lang w:val="uk-UA"/>
        </w:rPr>
        <w:t>, приход</w:t>
      </w:r>
      <w:r>
        <w:rPr>
          <w:rFonts w:ascii="Times New Roman" w:hAnsi="Times New Roman"/>
          <w:sz w:val="28"/>
          <w:szCs w:val="28"/>
          <w:lang w:val="uk-UA"/>
        </w:rPr>
        <w:t>имо до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того, що потрібно раціоналізувати інфраструктуру </w:t>
      </w:r>
      <w:r w:rsidR="006759B2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за допомогою стандартизації настільних комп'ютерів, консолідації центрів обробки даних, а також впровадження досвіду експлуатації інформаційних технологій. Якщо брати ці ініціативи в окремо, то вони зовсім не несуть тривалого ефекту. Для досягнення довгострокового ефекту необхідно чітко уявляти рівні зрілості своєї ІТ-інфраструктури, її зв'язок із загальн</w:t>
      </w:r>
      <w:r w:rsidR="006759B2">
        <w:rPr>
          <w:rFonts w:ascii="Times New Roman" w:hAnsi="Times New Roman"/>
          <w:sz w:val="28"/>
          <w:szCs w:val="28"/>
          <w:lang w:val="uk-UA"/>
        </w:rPr>
        <w:t>им напрямком розвитку місцевого самоврядування та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його потребами.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 xml:space="preserve">Компанія Microsoft пропонує свою модель оптимізації інфраструктури IOM (розшифровується, як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Infrastructure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Optimization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Model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). Дана модель покликана допомогти </w:t>
      </w:r>
      <w:r w:rsidR="006759B2">
        <w:rPr>
          <w:rFonts w:ascii="Times New Roman" w:hAnsi="Times New Roman"/>
          <w:sz w:val="28"/>
          <w:szCs w:val="28"/>
          <w:lang w:val="uk-UA"/>
        </w:rPr>
        <w:t>установам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зрозуміти і поліпшити стан власної ІТ-інфраструктури, до того ж вона сприяє більш чіткому уявленню про те, які витрати очікуються в майбутньому на оптимізацію, яка гнучкість її в експлуатації і який рівень безпеки. Істотно заощадити можливо за рахунок переходу до динамічного середовища від некеровано</w:t>
      </w:r>
      <w:r w:rsidR="006759B2">
        <w:rPr>
          <w:rFonts w:ascii="Times New Roman" w:hAnsi="Times New Roman"/>
          <w:sz w:val="28"/>
          <w:szCs w:val="28"/>
          <w:lang w:val="uk-UA"/>
        </w:rPr>
        <w:t>го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. Рівень безпеки підвищується до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проактивно</w:t>
      </w:r>
      <w:r w:rsidR="006759B2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протидії загрозам на вищих рівнях зрілості. Подібним чином можна вдосконалити управління ІТ-інфраструктурою: весь список операц</w:t>
      </w:r>
      <w:r w:rsidR="00FD4E77">
        <w:rPr>
          <w:rFonts w:ascii="Times New Roman" w:hAnsi="Times New Roman"/>
          <w:sz w:val="28"/>
          <w:szCs w:val="28"/>
          <w:lang w:val="uk-UA"/>
        </w:rPr>
        <w:t>ій, які необхідно виконати, роб</w:t>
      </w:r>
      <w:r w:rsidR="006759B2">
        <w:rPr>
          <w:rFonts w:ascii="Times New Roman" w:hAnsi="Times New Roman"/>
          <w:sz w:val="28"/>
          <w:szCs w:val="28"/>
          <w:lang w:val="uk-UA"/>
        </w:rPr>
        <w:t>иться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не в ручному режимі, а на високому рівні автоматизації з роботою на випередження, щоб уникнути виникнення в майбутньому аналогічних проблем.</w:t>
      </w:r>
    </w:p>
    <w:p w:rsidR="004D087C" w:rsidRPr="004D087C" w:rsidRDefault="006759B2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Впроваджуючи і в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>икористовуючи модель оптимізації</w:t>
      </w:r>
      <w:r>
        <w:rPr>
          <w:rFonts w:ascii="Times New Roman" w:hAnsi="Times New Roman"/>
          <w:sz w:val="28"/>
          <w:szCs w:val="28"/>
          <w:lang w:val="uk-UA"/>
        </w:rPr>
        <w:t>, ми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стрімко починає</w:t>
      </w:r>
      <w:r>
        <w:rPr>
          <w:rFonts w:ascii="Times New Roman" w:hAnsi="Times New Roman"/>
          <w:sz w:val="28"/>
          <w:szCs w:val="28"/>
          <w:lang w:val="uk-UA"/>
        </w:rPr>
        <w:t>мо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розуміти всю вигоду, а також переваги для </w:t>
      </w:r>
      <w:r>
        <w:rPr>
          <w:rFonts w:ascii="Times New Roman" w:hAnsi="Times New Roman"/>
          <w:sz w:val="28"/>
          <w:szCs w:val="28"/>
          <w:lang w:val="uk-UA"/>
        </w:rPr>
        <w:t>виконавчих органів від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переходу з базового рівня до динамічного рівня зрілості ІТ-інфраструктури. Спочатку вона вважається статтею витрат, а після переходу цінність її для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виконавчих органів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стає зрозумілою і вона сприймається як стратегічн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актив, який сприяє ефективному управлінню </w:t>
      </w:r>
      <w:r>
        <w:rPr>
          <w:rFonts w:ascii="Times New Roman" w:hAnsi="Times New Roman"/>
          <w:sz w:val="28"/>
          <w:szCs w:val="28"/>
          <w:lang w:val="uk-UA"/>
        </w:rPr>
        <w:t>містом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>.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>Створення моделі оптимізації ІТ-інфраструктури компанією Microsoft обумовлено накопиченим за багато років досвідом індустрією і самою компанією, а також успішного застосування цього досвіду на практиці. Дана модель заснована на моделі зрілості ІТ-інфраструктури IMM</w:t>
      </w:r>
      <w:r w:rsidR="006759B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6759B2" w:rsidRPr="006759B2">
        <w:rPr>
          <w:rFonts w:ascii="Times New Roman" w:hAnsi="Times New Roman"/>
          <w:sz w:val="28"/>
          <w:szCs w:val="28"/>
          <w:lang w:val="uk-UA"/>
        </w:rPr>
        <w:t>Integrated</w:t>
      </w:r>
      <w:proofErr w:type="spellEnd"/>
      <w:r w:rsidR="006759B2" w:rsidRPr="006759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59B2" w:rsidRPr="006759B2">
        <w:rPr>
          <w:rFonts w:ascii="Times New Roman" w:hAnsi="Times New Roman"/>
          <w:sz w:val="28"/>
          <w:szCs w:val="28"/>
          <w:lang w:val="uk-UA"/>
        </w:rPr>
        <w:t>Marketing</w:t>
      </w:r>
      <w:proofErr w:type="spellEnd"/>
      <w:r w:rsidR="006759B2" w:rsidRPr="006759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59B2" w:rsidRPr="006759B2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="006759B2">
        <w:rPr>
          <w:rFonts w:ascii="Times New Roman" w:hAnsi="Times New Roman"/>
          <w:sz w:val="28"/>
          <w:szCs w:val="28"/>
          <w:lang w:val="uk-UA"/>
        </w:rPr>
        <w:t>)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Gartner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і моделі зрілості AMM від МIT.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 xml:space="preserve">Основна мета, закладена на початку при розробці моделі оптимізації ІТ-інфраструктури полягала в пошуку гнучкого і простого способу застосування моделі, який згодом було б просто реалізувати в якості еталонного тесту для визначення технічних можливостей ІТ-інфраструктури та її цінності для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 w:rsidRPr="004D087C">
        <w:rPr>
          <w:rFonts w:ascii="Times New Roman" w:hAnsi="Times New Roman"/>
          <w:sz w:val="28"/>
          <w:szCs w:val="28"/>
          <w:lang w:val="uk-UA"/>
        </w:rPr>
        <w:t>.</w:t>
      </w:r>
    </w:p>
    <w:p w:rsid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>Першим кроком в застосуванні даної моделі на практиці ста</w:t>
      </w:r>
      <w:r w:rsidR="006A1EB0">
        <w:rPr>
          <w:rFonts w:ascii="Times New Roman" w:hAnsi="Times New Roman"/>
          <w:sz w:val="28"/>
          <w:szCs w:val="28"/>
          <w:lang w:val="uk-UA"/>
        </w:rPr>
        <w:t>ла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оцінка рівня зрілості ІТ-інфраструктури </w:t>
      </w:r>
      <w:r w:rsidR="006A1EB0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 термінах цієї моделі, наступним етапом </w:t>
      </w:r>
      <w:r w:rsidR="006A1EB0">
        <w:rPr>
          <w:rFonts w:ascii="Times New Roman" w:hAnsi="Times New Roman"/>
          <w:sz w:val="28"/>
          <w:szCs w:val="28"/>
          <w:lang w:val="uk-UA"/>
        </w:rPr>
        <w:t>є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планування шляхів розвитку інфраструктури, які забезпечать досягнення необхідного рівня зрілості.</w:t>
      </w:r>
    </w:p>
    <w:p w:rsidR="0083474F" w:rsidRPr="004D087C" w:rsidRDefault="0083474F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87C" w:rsidRPr="006A1EB0" w:rsidRDefault="006A1EB0" w:rsidP="004D087C">
      <w:pPr>
        <w:pStyle w:val="a7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Рівні зрілості ІТ-інфраструктури: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Базовий (</w:t>
      </w:r>
      <w:proofErr w:type="spellStart"/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Basic</w:t>
      </w:r>
      <w:proofErr w:type="spellEnd"/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6A1EB0" w:rsidRPr="006A1EB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6A1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ІТ-інфраструктура базового рівня зрілості </w:t>
      </w:r>
      <w:r w:rsidR="006A1EB0">
        <w:rPr>
          <w:rFonts w:ascii="Times New Roman" w:hAnsi="Times New Roman"/>
          <w:sz w:val="28"/>
          <w:szCs w:val="28"/>
          <w:lang w:val="uk-UA"/>
        </w:rPr>
        <w:t>х</w:t>
      </w:r>
      <w:r w:rsidR="006A1EB0" w:rsidRPr="004D087C">
        <w:rPr>
          <w:rFonts w:ascii="Times New Roman" w:hAnsi="Times New Roman"/>
          <w:sz w:val="28"/>
          <w:szCs w:val="28"/>
          <w:lang w:val="uk-UA"/>
        </w:rPr>
        <w:t xml:space="preserve">арактеризується </w:t>
      </w:r>
      <w:r w:rsidRPr="004D087C">
        <w:rPr>
          <w:rFonts w:ascii="Times New Roman" w:hAnsi="Times New Roman"/>
          <w:sz w:val="28"/>
          <w:szCs w:val="28"/>
          <w:lang w:val="uk-UA"/>
        </w:rPr>
        <w:t>наявністю безлічі процесів, які здійснюються ручним способом, мінімально</w:t>
      </w:r>
      <w:r w:rsidR="006A1EB0">
        <w:rPr>
          <w:rFonts w:ascii="Times New Roman" w:hAnsi="Times New Roman"/>
          <w:sz w:val="28"/>
          <w:szCs w:val="28"/>
          <w:lang w:val="uk-UA"/>
        </w:rPr>
        <w:t>ю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централізацією управління, а також непродуманіст</w:t>
      </w:r>
      <w:r w:rsidR="006A1EB0">
        <w:rPr>
          <w:rFonts w:ascii="Times New Roman" w:hAnsi="Times New Roman"/>
          <w:sz w:val="28"/>
          <w:szCs w:val="28"/>
          <w:lang w:val="uk-UA"/>
        </w:rPr>
        <w:t>ю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або відсутністю політик і стандартів безпеки інфраструктури, управління образами систем, резервного копіювання, а також недотриманням інших стандартів інформаційних технологій.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Виконавчий орган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не розуміє чітко деталі існуючої ІТ-інфраструктури, відсутні знання про тактику її модернізації, яка могла б дати максимальний ефект. Працездатність служб і додатків і служб в цілому невідома через відсутність відповідних інструментів і ресурсів. Відсутній механізм обміну між структурними </w:t>
      </w:r>
      <w:r w:rsidR="006A1EB0">
        <w:rPr>
          <w:rFonts w:ascii="Times New Roman" w:hAnsi="Times New Roman"/>
          <w:sz w:val="28"/>
          <w:szCs w:val="28"/>
          <w:lang w:val="uk-UA"/>
        </w:rPr>
        <w:t>підрозділами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організації накопиченими знаннями.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4D087C">
        <w:rPr>
          <w:rFonts w:ascii="Times New Roman" w:hAnsi="Times New Roman"/>
          <w:sz w:val="28"/>
          <w:szCs w:val="28"/>
          <w:lang w:val="uk-UA"/>
        </w:rPr>
        <w:t>, що мають базовий рівень ІТ-інфраструктури, знаходяться в складному становищі і не можуть керувати своїми середовищами, управління серверами і ПК ста</w:t>
      </w:r>
      <w:r w:rsidR="006A1EB0">
        <w:rPr>
          <w:rFonts w:ascii="Times New Roman" w:hAnsi="Times New Roman"/>
          <w:sz w:val="28"/>
          <w:szCs w:val="28"/>
          <w:lang w:val="uk-UA"/>
        </w:rPr>
        <w:t>є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вкрай </w:t>
      </w:r>
      <w:r w:rsidR="006A1EB0">
        <w:rPr>
          <w:rFonts w:ascii="Times New Roman" w:hAnsi="Times New Roman"/>
          <w:sz w:val="28"/>
          <w:szCs w:val="28"/>
          <w:lang w:val="uk-UA"/>
        </w:rPr>
        <w:t>неефективним та непрофесійним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, вразливість перед будь-якими атаками і </w:t>
      </w:r>
      <w:r w:rsidR="006A1EB0">
        <w:rPr>
          <w:rFonts w:ascii="Times New Roman" w:hAnsi="Times New Roman"/>
          <w:sz w:val="28"/>
          <w:szCs w:val="28"/>
          <w:lang w:val="uk-UA"/>
        </w:rPr>
        <w:t>за</w:t>
      </w:r>
      <w:r w:rsidRPr="004D087C">
        <w:rPr>
          <w:rFonts w:ascii="Times New Roman" w:hAnsi="Times New Roman"/>
          <w:sz w:val="28"/>
          <w:szCs w:val="28"/>
          <w:lang w:val="uk-UA"/>
        </w:rPr>
        <w:t>грозами стає великою, і в результаті стражда</w:t>
      </w:r>
      <w:r w:rsidR="006A1EB0">
        <w:rPr>
          <w:rFonts w:ascii="Times New Roman" w:hAnsi="Times New Roman"/>
          <w:sz w:val="28"/>
          <w:szCs w:val="28"/>
          <w:lang w:val="uk-UA"/>
        </w:rPr>
        <w:t>ють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EB0">
        <w:rPr>
          <w:rFonts w:ascii="Times New Roman" w:hAnsi="Times New Roman"/>
          <w:sz w:val="28"/>
          <w:szCs w:val="28"/>
          <w:lang w:val="uk-UA"/>
        </w:rPr>
        <w:t>результати роботи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, отримуючи невелику вигоду від інформаційних технологій. Будь-яке розгортання або оновлення служб або додатків в цьому випадку </w:t>
      </w:r>
      <w:r w:rsidR="006A1EB0">
        <w:rPr>
          <w:rFonts w:ascii="Times New Roman" w:hAnsi="Times New Roman"/>
          <w:sz w:val="28"/>
          <w:szCs w:val="28"/>
          <w:lang w:val="uk-UA"/>
        </w:rPr>
        <w:t>вимагає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великих витрат і зусиль. Разом з тим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4D087C">
        <w:rPr>
          <w:rFonts w:ascii="Times New Roman" w:hAnsi="Times New Roman"/>
          <w:sz w:val="28"/>
          <w:szCs w:val="28"/>
          <w:lang w:val="uk-UA"/>
        </w:rPr>
        <w:t>, що знаходяться на базовому рівні зрілості ІТ-інфраструктури значно виграють, здійснюючи перехід до стандартизованого рівня (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Standardized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>) зрілості, фактично знижуючи витрати за рахунок:</w:t>
      </w:r>
    </w:p>
    <w:p w:rsid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t>зменшення ризиків, які пов'язані з безпекою, за рахунок здійснення ешелонованої оборони (це підхід, який характеризується забезпеченням безпеки на декількох рівнях: на рівні серверів, додатків, ПК і по всьому периметру мережі);</w:t>
      </w:r>
    </w:p>
    <w:p w:rsid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lastRenderedPageBreak/>
        <w:t>впровадження автоматичної замість ручної і тривало виконуваної операції;</w:t>
      </w:r>
    </w:p>
    <w:p w:rsid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t xml:space="preserve">впровадження передового досвіду (різні бібліотеки IT: </w:t>
      </w:r>
      <w:proofErr w:type="spellStart"/>
      <w:r w:rsidRPr="006A1EB0">
        <w:rPr>
          <w:rFonts w:ascii="Times New Roman" w:hAnsi="Times New Roman"/>
          <w:sz w:val="28"/>
          <w:szCs w:val="28"/>
          <w:lang w:val="uk-UA"/>
        </w:rPr>
        <w:t>Infrastructure</w:t>
      </w:r>
      <w:proofErr w:type="spellEnd"/>
      <w:r w:rsidRPr="006A1E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1EB0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6A1EB0">
        <w:rPr>
          <w:rFonts w:ascii="Times New Roman" w:hAnsi="Times New Roman"/>
          <w:sz w:val="28"/>
          <w:szCs w:val="28"/>
          <w:lang w:val="uk-UA"/>
        </w:rPr>
        <w:t>, SANS</w:t>
      </w:r>
      <w:r w:rsidR="00834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74F" w:rsidRPr="0083474F">
        <w:rPr>
          <w:rFonts w:ascii="Times New Roman" w:hAnsi="Times New Roman"/>
          <w:sz w:val="28"/>
          <w:szCs w:val="28"/>
          <w:lang w:val="en-US"/>
        </w:rPr>
        <w:t xml:space="preserve">Information Security </w:t>
      </w:r>
      <w:r w:rsidRPr="006A1EB0">
        <w:rPr>
          <w:rFonts w:ascii="Times New Roman" w:hAnsi="Times New Roman"/>
          <w:sz w:val="28"/>
          <w:szCs w:val="28"/>
          <w:lang w:val="uk-UA"/>
        </w:rPr>
        <w:t>та інші);</w:t>
      </w:r>
    </w:p>
    <w:p w:rsidR="004D087C" w:rsidRP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t>розробки політик і стандартів, і стратегій їх застосування.</w:t>
      </w:r>
    </w:p>
    <w:p w:rsidR="004D087C" w:rsidRDefault="004D087C" w:rsidP="005D36E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3474F">
        <w:rPr>
          <w:rFonts w:ascii="Times New Roman" w:hAnsi="Times New Roman"/>
          <w:b/>
          <w:bCs/>
          <w:sz w:val="28"/>
          <w:szCs w:val="28"/>
          <w:lang w:val="uk-UA"/>
        </w:rPr>
        <w:t>Стандартизований рівень зрілості (</w:t>
      </w:r>
      <w:proofErr w:type="spellStart"/>
      <w:r w:rsidRPr="0083474F">
        <w:rPr>
          <w:rFonts w:ascii="Times New Roman" w:hAnsi="Times New Roman"/>
          <w:b/>
          <w:bCs/>
          <w:sz w:val="28"/>
          <w:szCs w:val="28"/>
          <w:lang w:val="uk-UA"/>
        </w:rPr>
        <w:t>Standardized</w:t>
      </w:r>
      <w:proofErr w:type="spellEnd"/>
      <w:r w:rsidRPr="0083474F">
        <w:rPr>
          <w:rFonts w:ascii="Times New Roman" w:hAnsi="Times New Roman"/>
          <w:b/>
          <w:bCs/>
          <w:sz w:val="28"/>
          <w:szCs w:val="28"/>
          <w:lang w:val="uk-UA"/>
        </w:rPr>
        <w:t xml:space="preserve">). 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В ІТ-інфраструктурі стандартизованого рівня починають з'являтися чітко визначені точки управління завдяки застосуванню політик і стандартів адміністрування серверів і стаціонарних ПК, правил підключення ПК до мережі, управління ресурсами на основі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Active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Directory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, політик безпеки та управління доступом. </w:t>
      </w:r>
      <w:r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що мають ІТ-інфраструктуру рівня зрілості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Standardized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вже ефективно застосовують всі кращі базові політики і стандарти, але до сих пір реагують на проблеми, тільки коли вони вже є в наявності. Розгортання та оновлення нових служб / додатків зазвичай вимагають витрат в межах допустимого, але іноді витрати як і раніше залишаються великі. Як правило, в такій </w:t>
      </w:r>
      <w:r w:rsidR="005B31C6">
        <w:rPr>
          <w:rFonts w:ascii="Times New Roman" w:hAnsi="Times New Roman"/>
          <w:sz w:val="28"/>
          <w:szCs w:val="28"/>
          <w:lang w:val="uk-UA"/>
        </w:rPr>
        <w:t>структурі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є якась виразна база інвентарної інформації про апаратно-програмн</w:t>
      </w:r>
      <w:r w:rsidR="005B31C6">
        <w:rPr>
          <w:rFonts w:ascii="Times New Roman" w:hAnsi="Times New Roman"/>
          <w:sz w:val="28"/>
          <w:szCs w:val="28"/>
          <w:lang w:val="uk-UA"/>
        </w:rPr>
        <w:t>е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забезпеченн</w:t>
      </w:r>
      <w:r w:rsidR="005B31C6">
        <w:rPr>
          <w:rFonts w:ascii="Times New Roman" w:hAnsi="Times New Roman"/>
          <w:sz w:val="28"/>
          <w:szCs w:val="28"/>
          <w:lang w:val="uk-UA"/>
        </w:rPr>
        <w:t>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і починається управління ліцензіями. Завдяки блокуванню периметра мережі, захист від зовнішніх загроз збільшується, але внутрішня безпека перебуває на низькому рівні. </w:t>
      </w:r>
      <w:r w:rsidR="005B31C6"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зі стандартизованим рівнем зрілості ІТ-інфраструктури завжди тільки виграють при переході до раціоналіз</w:t>
      </w:r>
      <w:r w:rsidR="005B31C6">
        <w:rPr>
          <w:rFonts w:ascii="Times New Roman" w:hAnsi="Times New Roman"/>
          <w:sz w:val="28"/>
          <w:szCs w:val="28"/>
          <w:lang w:val="uk-UA"/>
        </w:rPr>
        <w:t>ованого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рівн</w:t>
      </w:r>
      <w:r w:rsidR="005B31C6">
        <w:rPr>
          <w:rFonts w:ascii="Times New Roman" w:hAnsi="Times New Roman"/>
          <w:sz w:val="28"/>
          <w:szCs w:val="28"/>
          <w:lang w:val="uk-UA"/>
        </w:rPr>
        <w:t>я</w:t>
      </w:r>
      <w:r w:rsidRPr="0083474F">
        <w:rPr>
          <w:rFonts w:ascii="Times New Roman" w:hAnsi="Times New Roman"/>
          <w:sz w:val="28"/>
          <w:szCs w:val="28"/>
          <w:lang w:val="uk-UA"/>
        </w:rPr>
        <w:t>, набуваючи при цьому найбільш високий контроль над всі</w:t>
      </w:r>
      <w:r w:rsidR="005B31C6">
        <w:rPr>
          <w:rFonts w:ascii="Times New Roman" w:hAnsi="Times New Roman"/>
          <w:sz w:val="28"/>
          <w:szCs w:val="28"/>
          <w:lang w:val="uk-UA"/>
        </w:rPr>
        <w:t>єю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ІТ-інфраструктурою, а також процес</w:t>
      </w:r>
      <w:r w:rsidR="005B31C6">
        <w:rPr>
          <w:rFonts w:ascii="Times New Roman" w:hAnsi="Times New Roman"/>
          <w:sz w:val="28"/>
          <w:szCs w:val="28"/>
          <w:lang w:val="uk-UA"/>
        </w:rPr>
        <w:t>ами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і політик</w:t>
      </w:r>
      <w:r w:rsidR="005B31C6">
        <w:rPr>
          <w:rFonts w:ascii="Times New Roman" w:hAnsi="Times New Roman"/>
          <w:sz w:val="28"/>
          <w:szCs w:val="28"/>
          <w:lang w:val="uk-UA"/>
        </w:rPr>
        <w:t>ами</w:t>
      </w:r>
      <w:r w:rsidRPr="0083474F">
        <w:rPr>
          <w:rFonts w:ascii="Times New Roman" w:hAnsi="Times New Roman"/>
          <w:sz w:val="28"/>
          <w:szCs w:val="28"/>
          <w:lang w:val="uk-UA"/>
        </w:rPr>
        <w:t>, спрямован</w:t>
      </w:r>
      <w:r w:rsidR="005B31C6">
        <w:rPr>
          <w:rFonts w:ascii="Times New Roman" w:hAnsi="Times New Roman"/>
          <w:sz w:val="28"/>
          <w:szCs w:val="28"/>
          <w:lang w:val="uk-UA"/>
        </w:rPr>
        <w:t>ими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на випереджаюче реагування на різного роду ситуації, починаючи від стихійних лих, закінчуючи змінами </w:t>
      </w:r>
      <w:r w:rsidR="005B31C6">
        <w:rPr>
          <w:rFonts w:ascii="Times New Roman" w:hAnsi="Times New Roman"/>
          <w:sz w:val="28"/>
          <w:szCs w:val="28"/>
          <w:lang w:val="uk-UA"/>
        </w:rPr>
        <w:t>ситуації в країні</w:t>
      </w:r>
      <w:r w:rsidRPr="0083474F">
        <w:rPr>
          <w:rFonts w:ascii="Times New Roman" w:hAnsi="Times New Roman"/>
          <w:sz w:val="28"/>
          <w:szCs w:val="28"/>
          <w:lang w:val="uk-UA"/>
        </w:rPr>
        <w:t>.</w:t>
      </w: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Раціоналізований (</w:t>
      </w:r>
      <w:proofErr w:type="spellStart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Rationalized</w:t>
      </w:r>
      <w:proofErr w:type="spellEnd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) рівень зрілості</w:t>
      </w:r>
      <w:r w:rsidR="005B31C6" w:rsidRPr="005B31C6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474F">
        <w:rPr>
          <w:rFonts w:ascii="Times New Roman" w:hAnsi="Times New Roman"/>
          <w:sz w:val="28"/>
          <w:szCs w:val="28"/>
          <w:lang w:val="uk-UA"/>
        </w:rPr>
        <w:t>Даний рівень зрілості ІТ-інфраструктури організації характеризується мінімальними витратами на управління серверами і стаціонарними комп'ютерами, політики і процеси стають важливими в розширенні і підтрим</w:t>
      </w:r>
      <w:r w:rsidR="005B31C6">
        <w:rPr>
          <w:rFonts w:ascii="Times New Roman" w:hAnsi="Times New Roman"/>
          <w:sz w:val="28"/>
          <w:szCs w:val="28"/>
          <w:lang w:val="uk-UA"/>
        </w:rPr>
        <w:t>ці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1C6">
        <w:rPr>
          <w:rFonts w:ascii="Times New Roman" w:hAnsi="Times New Roman"/>
          <w:sz w:val="28"/>
          <w:szCs w:val="28"/>
          <w:lang w:val="uk-UA"/>
        </w:rPr>
        <w:t>виконання функцій місцевого самоврядування</w:t>
      </w:r>
      <w:r w:rsidRPr="0083474F">
        <w:rPr>
          <w:rFonts w:ascii="Times New Roman" w:hAnsi="Times New Roman"/>
          <w:sz w:val="28"/>
          <w:szCs w:val="28"/>
          <w:lang w:val="uk-UA"/>
        </w:rPr>
        <w:t>. Ключов</w:t>
      </w:r>
      <w:r w:rsidR="005B31C6">
        <w:rPr>
          <w:rFonts w:ascii="Times New Roman" w:hAnsi="Times New Roman"/>
          <w:sz w:val="28"/>
          <w:szCs w:val="28"/>
          <w:lang w:val="uk-UA"/>
        </w:rPr>
        <w:t>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уваг</w:t>
      </w:r>
      <w:r w:rsidR="005B31C6">
        <w:rPr>
          <w:rFonts w:ascii="Times New Roman" w:hAnsi="Times New Roman"/>
          <w:sz w:val="28"/>
          <w:szCs w:val="28"/>
          <w:lang w:val="uk-UA"/>
        </w:rPr>
        <w:t>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 захисті приділяється профілактичним заходам, </w:t>
      </w:r>
      <w:r w:rsidR="005B31C6">
        <w:rPr>
          <w:rFonts w:ascii="Times New Roman" w:hAnsi="Times New Roman"/>
          <w:sz w:val="28"/>
          <w:szCs w:val="28"/>
          <w:lang w:val="uk-UA"/>
        </w:rPr>
        <w:t>організація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передбачувано і швидко реагує на будь-якого роду загрози безпеки. Застосування розгортання за принципом «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Zero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touch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>» (повністю автоматизоване розгортання, з мінімальною участю операторів) знижує витрати, а також час установки оновлень і ймовірність технічних проблем. Кількість образів систем (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images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>) мінімальн</w:t>
      </w:r>
      <w:r w:rsidR="005B31C6">
        <w:rPr>
          <w:rFonts w:ascii="Times New Roman" w:hAnsi="Times New Roman"/>
          <w:sz w:val="28"/>
          <w:szCs w:val="28"/>
          <w:lang w:val="uk-UA"/>
        </w:rPr>
        <w:t>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і процес управління стаціонарними комп'ютерами вимагає невеликих зусиль. </w:t>
      </w:r>
      <w:r w:rsidR="005B31C6">
        <w:rPr>
          <w:rFonts w:ascii="Times New Roman" w:hAnsi="Times New Roman"/>
          <w:sz w:val="28"/>
          <w:szCs w:val="28"/>
          <w:lang w:val="uk-UA"/>
        </w:rPr>
        <w:t>В 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створюється база даних, що має вичерпну інформацію про апаратно-програмн</w:t>
      </w:r>
      <w:r w:rsidR="005B31C6">
        <w:rPr>
          <w:rFonts w:ascii="Times New Roman" w:hAnsi="Times New Roman"/>
          <w:sz w:val="28"/>
          <w:szCs w:val="28"/>
          <w:lang w:val="uk-UA"/>
        </w:rPr>
        <w:t>е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забезпеченн</w:t>
      </w:r>
      <w:r w:rsidR="005B31C6">
        <w:rPr>
          <w:rFonts w:ascii="Times New Roman" w:hAnsi="Times New Roman"/>
          <w:sz w:val="28"/>
          <w:szCs w:val="28"/>
          <w:lang w:val="uk-UA"/>
        </w:rPr>
        <w:t>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. В результаті закупівля нової комп'ютерної техніки та ліцензій на програмне забезпечення здійснюється </w:t>
      </w:r>
      <w:proofErr w:type="spellStart"/>
      <w:r w:rsidR="005B31C6">
        <w:rPr>
          <w:rFonts w:ascii="Times New Roman" w:hAnsi="Times New Roman"/>
          <w:sz w:val="28"/>
          <w:szCs w:val="28"/>
          <w:lang w:val="uk-UA"/>
        </w:rPr>
        <w:t>таргетовано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, без витрат на зайве. Досягнувши динамічного рівня зрілості, ІТ-інфраструктура з раціоналізовані рівнем забезпечує </w:t>
      </w:r>
      <w:r w:rsidR="005B31C6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велик</w:t>
      </w:r>
      <w:r w:rsidR="005B31C6">
        <w:rPr>
          <w:rFonts w:ascii="Times New Roman" w:hAnsi="Times New Roman"/>
          <w:sz w:val="28"/>
          <w:szCs w:val="28"/>
          <w:lang w:val="uk-UA"/>
        </w:rPr>
        <w:t>у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кількість бонусів: </w:t>
      </w:r>
      <w:r w:rsidR="005B31C6">
        <w:rPr>
          <w:rFonts w:ascii="Times New Roman" w:hAnsi="Times New Roman"/>
          <w:sz w:val="28"/>
          <w:szCs w:val="28"/>
          <w:lang w:val="uk-UA"/>
        </w:rPr>
        <w:t>структура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стає </w:t>
      </w:r>
      <w:r w:rsidRPr="0083474F">
        <w:rPr>
          <w:rFonts w:ascii="Times New Roman" w:hAnsi="Times New Roman"/>
          <w:sz w:val="28"/>
          <w:szCs w:val="28"/>
          <w:lang w:val="uk-UA"/>
        </w:rPr>
        <w:lastRenderedPageBreak/>
        <w:t>здатн</w:t>
      </w:r>
      <w:r w:rsidR="005B31C6">
        <w:rPr>
          <w:rFonts w:ascii="Times New Roman" w:hAnsi="Times New Roman"/>
          <w:sz w:val="28"/>
          <w:szCs w:val="28"/>
          <w:lang w:val="uk-UA"/>
        </w:rPr>
        <w:t>ою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впроваджувати альтернативні і новітні технології, необхідні для здійснення нових цілей і задач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 розвитку міста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31C6">
        <w:rPr>
          <w:rFonts w:ascii="Times New Roman" w:hAnsi="Times New Roman"/>
          <w:sz w:val="28"/>
          <w:szCs w:val="28"/>
          <w:lang w:val="uk-UA"/>
        </w:rPr>
        <w:t>надбання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при цьому істотно перевищу</w:t>
      </w:r>
      <w:r w:rsidR="005B31C6">
        <w:rPr>
          <w:rFonts w:ascii="Times New Roman" w:hAnsi="Times New Roman"/>
          <w:sz w:val="28"/>
          <w:szCs w:val="28"/>
          <w:lang w:val="uk-UA"/>
        </w:rPr>
        <w:t>ють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додаткові витрати.</w:t>
      </w: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Динамічний (</w:t>
      </w:r>
      <w:proofErr w:type="spellStart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Dynamic</w:t>
      </w:r>
      <w:proofErr w:type="spellEnd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) рівень зрілості</w:t>
      </w:r>
      <w:r w:rsidR="005B31C6" w:rsidRPr="005B31C6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В організації з ІТ-інфраструктурою, що досягла динамічного рівня зрілості, є повне розуміння стратегічної цінності даної інфраструктури, яка сприяє ефективному управлінню 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структурою та містом в цілому </w:t>
      </w:r>
      <w:r w:rsidRPr="0083474F">
        <w:rPr>
          <w:rFonts w:ascii="Times New Roman" w:hAnsi="Times New Roman"/>
          <w:sz w:val="28"/>
          <w:szCs w:val="28"/>
          <w:lang w:val="uk-UA"/>
        </w:rPr>
        <w:t>і постійно</w:t>
      </w:r>
      <w:r w:rsidR="005B31C6">
        <w:rPr>
          <w:rFonts w:ascii="Times New Roman" w:hAnsi="Times New Roman"/>
          <w:sz w:val="28"/>
          <w:szCs w:val="28"/>
          <w:lang w:val="uk-UA"/>
        </w:rPr>
        <w:t>му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випередженн</w:t>
      </w:r>
      <w:r w:rsidR="005B31C6">
        <w:rPr>
          <w:rFonts w:ascii="Times New Roman" w:hAnsi="Times New Roman"/>
          <w:sz w:val="28"/>
          <w:szCs w:val="28"/>
          <w:lang w:val="uk-UA"/>
        </w:rPr>
        <w:t>ю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1C6">
        <w:rPr>
          <w:rFonts w:ascii="Times New Roman" w:hAnsi="Times New Roman"/>
          <w:sz w:val="28"/>
          <w:szCs w:val="28"/>
          <w:lang w:val="uk-UA"/>
        </w:rPr>
        <w:t>колег з інших регіонів</w:t>
      </w:r>
      <w:r w:rsidRPr="0083474F">
        <w:rPr>
          <w:rFonts w:ascii="Times New Roman" w:hAnsi="Times New Roman"/>
          <w:sz w:val="28"/>
          <w:szCs w:val="28"/>
          <w:lang w:val="uk-UA"/>
        </w:rPr>
        <w:t>.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Високий рівень автоматизації дозволяє значно оптимізувати штатну чисельність та витрати на утримання надлишкових одиниць.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Повністю контролюються всі витрати, користувачам доступні необхідні в їх роботі дані, на яких би серверах вони не знаходилися, також є добре і ефективно організована спільна робота як на рівні співробітників, так і на рівні структурних </w:t>
      </w:r>
      <w:r w:rsidR="005B31C6">
        <w:rPr>
          <w:rFonts w:ascii="Times New Roman" w:hAnsi="Times New Roman"/>
          <w:sz w:val="28"/>
          <w:szCs w:val="28"/>
          <w:lang w:val="uk-UA"/>
        </w:rPr>
        <w:t>підрозділів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мобільним користувачам також </w:t>
      </w:r>
      <w:r w:rsidR="005B31C6">
        <w:rPr>
          <w:rFonts w:ascii="Times New Roman" w:hAnsi="Times New Roman"/>
          <w:sz w:val="28"/>
          <w:szCs w:val="28"/>
          <w:lang w:val="uk-UA"/>
        </w:rPr>
        <w:t>надається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практично таке </w:t>
      </w:r>
      <w:r w:rsidR="005B31C6">
        <w:rPr>
          <w:rFonts w:ascii="Times New Roman" w:hAnsi="Times New Roman"/>
          <w:sz w:val="28"/>
          <w:szCs w:val="28"/>
          <w:lang w:val="uk-UA"/>
        </w:rPr>
        <w:t>саме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обслуговування, що і в офісі. Процеси стають повністю автоматизованими і регулярно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включен</w:t>
      </w:r>
      <w:r w:rsidR="005B31C6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безпосередньо в ІТ-системи, це дозволяє управляти даними системами відповідно до потреб </w:t>
      </w:r>
      <w:r w:rsidR="00CF0411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. Швидку і заздалегідь прогнозовану віддачу для </w:t>
      </w:r>
      <w:r w:rsidR="00CF0411">
        <w:rPr>
          <w:rFonts w:ascii="Times New Roman" w:hAnsi="Times New Roman"/>
          <w:sz w:val="28"/>
          <w:szCs w:val="28"/>
          <w:lang w:val="uk-UA"/>
        </w:rPr>
        <w:t>міста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дають додаткові інвестиції в технології. Застосування систем з підтримкою карантину (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quarantine-like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systems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>) і програмного забезпечення з автоматичним оновленням (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self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provisioning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software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), що гарантують коректне управління оновленнями і відповідність встановленим політикам безпеки, дозволяє </w:t>
      </w:r>
      <w:r w:rsidR="00CF0411">
        <w:rPr>
          <w:rFonts w:ascii="Times New Roman" w:hAnsi="Times New Roman"/>
          <w:sz w:val="28"/>
          <w:szCs w:val="28"/>
          <w:lang w:val="uk-UA"/>
        </w:rPr>
        <w:t>організаціям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 динамічним рівнем зрілості ІТ-інфраструктури автоматизувати процеси, збільшуючи їх надійність. Такий формат сприяє зниженню витрат і максимізації рівнів обслуговування. </w:t>
      </w:r>
      <w:r w:rsidR="00CF0411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 таким рівнем зрілості ІТ-інфраструктур можуть відповісти на будь-який виклик сучасно</w:t>
      </w:r>
      <w:r w:rsidR="00CF0411">
        <w:rPr>
          <w:rFonts w:ascii="Times New Roman" w:hAnsi="Times New Roman"/>
          <w:sz w:val="28"/>
          <w:szCs w:val="28"/>
          <w:lang w:val="uk-UA"/>
        </w:rPr>
        <w:t>сті</w:t>
      </w:r>
      <w:r w:rsidRPr="0083474F">
        <w:rPr>
          <w:rFonts w:ascii="Times New Roman" w:hAnsi="Times New Roman"/>
          <w:sz w:val="28"/>
          <w:szCs w:val="28"/>
          <w:lang w:val="uk-UA"/>
        </w:rPr>
        <w:t>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3. Мета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411" w:rsidRDefault="00EC0C2E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Метою Програми є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виведення ІТ-інфраструктури Сумської міської ради на динамічний рівень зрілості.</w:t>
      </w:r>
    </w:p>
    <w:p w:rsidR="00CF0411" w:rsidRDefault="00CF0411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Головне завдання Програми до 2022 року – вихід на повну відповідність раціоналізованому рівню зрілості ІТ-інфраструктури та закладення основ до переходу в майбутньому до динамічний рівень зрілості.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4.  Напрями діяльності (підпрограми) та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Напрями діяльності Програми, узгоджені з її метою,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  додатку </w:t>
      </w:r>
      <w:r w:rsidRPr="00EE6E39">
        <w:rPr>
          <w:rFonts w:ascii="Times New Roman" w:hAnsi="Times New Roman"/>
          <w:sz w:val="28"/>
          <w:szCs w:val="28"/>
        </w:rPr>
        <w:t>1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5.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Завдання Програми, спрямовані на досягнення  мети, 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2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 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Результативні показники </w:t>
      </w:r>
      <w:r w:rsidR="00C959C7" w:rsidRPr="00EE6E39">
        <w:rPr>
          <w:rFonts w:ascii="Times New Roman" w:hAnsi="Times New Roman"/>
          <w:sz w:val="28"/>
          <w:szCs w:val="28"/>
          <w:lang w:val="uk-UA"/>
        </w:rPr>
        <w:t>П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рограми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3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D344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59C7" w:rsidRPr="00EE6E39">
        <w:rPr>
          <w:rFonts w:ascii="Times New Roman" w:hAnsi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C959C7" w:rsidRPr="00EE6E39" w:rsidRDefault="00C959C7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Контроль та координація за організацією виконання  Програми покла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дається на постійну депутатську комісію </w:t>
      </w:r>
      <w:r w:rsidR="008C7553" w:rsidRPr="008C7553">
        <w:rPr>
          <w:rFonts w:ascii="Times New Roman" w:hAnsi="Times New Roman"/>
          <w:sz w:val="28"/>
          <w:szCs w:val="28"/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C7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E39">
        <w:rPr>
          <w:rFonts w:ascii="Times New Roman" w:hAnsi="Times New Roman"/>
          <w:sz w:val="28"/>
          <w:szCs w:val="28"/>
          <w:lang w:val="uk-UA"/>
        </w:rPr>
        <w:t>Сумської міської ради.</w:t>
      </w: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Організація виконання Програми покладається на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 інформаційних технологій та комп’ютерного забезпечення Сумської міської ради</w:t>
      </w:r>
      <w:r w:rsidRPr="00EE6E39">
        <w:rPr>
          <w:rFonts w:ascii="Times New Roman" w:hAnsi="Times New Roman"/>
          <w:sz w:val="28"/>
          <w:szCs w:val="28"/>
          <w:lang w:val="uk-UA"/>
        </w:rPr>
        <w:t>. Виконавці Програми щороку до 1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5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січня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надають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</w:t>
      </w:r>
      <w:r w:rsidR="002331A7">
        <w:rPr>
          <w:rFonts w:ascii="Times New Roman" w:hAnsi="Times New Roman"/>
          <w:sz w:val="28"/>
          <w:szCs w:val="28"/>
          <w:lang w:val="uk-UA"/>
        </w:rPr>
        <w:t>у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 та комп’ютерного забезпечення Сумської міської ради </w:t>
      </w:r>
      <w:r w:rsidRPr="00EE6E39">
        <w:rPr>
          <w:rFonts w:ascii="Times New Roman" w:hAnsi="Times New Roman"/>
          <w:sz w:val="28"/>
          <w:szCs w:val="28"/>
          <w:lang w:val="uk-UA"/>
        </w:rPr>
        <w:t>ін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формацію про хід виконання даної Програми за попередній рік.</w:t>
      </w:r>
    </w:p>
    <w:p w:rsidR="0014589A" w:rsidRPr="00EE6E39" w:rsidRDefault="0014589A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14589A" w:rsidRPr="00EE6E39" w:rsidRDefault="0014589A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F2EA4" w:rsidRPr="00EE6E39" w:rsidRDefault="00BF2EA4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F2EA4" w:rsidRPr="00EE6E39" w:rsidRDefault="00BF2EA4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056AA2" w:rsidRPr="00EE6E39" w:rsidRDefault="008617D2" w:rsidP="0097174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DB0077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DB0077">
        <w:rPr>
          <w:rFonts w:ascii="Times New Roman" w:hAnsi="Times New Roman"/>
          <w:sz w:val="28"/>
          <w:szCs w:val="28"/>
          <w:lang w:val="uk-UA"/>
        </w:rPr>
        <w:t>м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DB0077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Баранов</w:t>
      </w:r>
    </w:p>
    <w:p w:rsidR="00C959C7" w:rsidRPr="00EE6E39" w:rsidRDefault="00C959C7" w:rsidP="00056AA2">
      <w:pPr>
        <w:pStyle w:val="a7"/>
        <w:rPr>
          <w:rFonts w:ascii="Times New Roman" w:hAnsi="Times New Roman"/>
          <w:sz w:val="16"/>
          <w:szCs w:val="16"/>
          <w:lang w:val="uk-UA"/>
        </w:rPr>
      </w:pPr>
    </w:p>
    <w:p w:rsidR="00056AA2" w:rsidRPr="00056AA2" w:rsidRDefault="00056AA2" w:rsidP="00056AA2">
      <w:pPr>
        <w:pStyle w:val="a7"/>
        <w:rPr>
          <w:rFonts w:ascii="Times New Roman" w:hAnsi="Times New Roman"/>
          <w:sz w:val="20"/>
          <w:szCs w:val="20"/>
          <w:lang w:val="uk-UA"/>
        </w:rPr>
      </w:pPr>
      <w:r w:rsidRPr="00EE6E39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r w:rsidR="00A002B7">
        <w:rPr>
          <w:rFonts w:ascii="Times New Roman" w:hAnsi="Times New Roman"/>
          <w:sz w:val="20"/>
          <w:szCs w:val="20"/>
          <w:lang w:val="uk-UA"/>
        </w:rPr>
        <w:t>Бєломар</w:t>
      </w:r>
      <w:r w:rsidRPr="00EE6E3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002B7">
        <w:rPr>
          <w:rFonts w:ascii="Times New Roman" w:hAnsi="Times New Roman"/>
          <w:sz w:val="20"/>
          <w:szCs w:val="20"/>
          <w:lang w:val="uk-UA"/>
        </w:rPr>
        <w:t>В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  <w:r w:rsidR="00073EB0" w:rsidRPr="00EE6E39">
        <w:rPr>
          <w:rFonts w:ascii="Times New Roman" w:hAnsi="Times New Roman"/>
          <w:sz w:val="20"/>
          <w:szCs w:val="20"/>
          <w:lang w:val="uk-UA"/>
        </w:rPr>
        <w:t>В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</w:p>
    <w:sectPr w:rsidR="00056AA2" w:rsidRPr="00056AA2" w:rsidSect="009A2EBA">
      <w:pgSz w:w="11906" w:h="16838"/>
      <w:pgMar w:top="1135" w:right="1133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6BA"/>
    <w:multiLevelType w:val="hybridMultilevel"/>
    <w:tmpl w:val="01A2F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C85DBA"/>
    <w:multiLevelType w:val="hybridMultilevel"/>
    <w:tmpl w:val="73EEE1A4"/>
    <w:lvl w:ilvl="0" w:tplc="60DC56C6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D7639DF"/>
    <w:multiLevelType w:val="hybridMultilevel"/>
    <w:tmpl w:val="549EA0FA"/>
    <w:lvl w:ilvl="0" w:tplc="465A48D4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3"/>
    <w:rsid w:val="00003D8B"/>
    <w:rsid w:val="00020AE2"/>
    <w:rsid w:val="00031243"/>
    <w:rsid w:val="00043A2C"/>
    <w:rsid w:val="00056AA2"/>
    <w:rsid w:val="000706FD"/>
    <w:rsid w:val="00073EB0"/>
    <w:rsid w:val="000747D1"/>
    <w:rsid w:val="00090C6F"/>
    <w:rsid w:val="00093C00"/>
    <w:rsid w:val="000B672C"/>
    <w:rsid w:val="000B7B5C"/>
    <w:rsid w:val="000B7D79"/>
    <w:rsid w:val="000E3B9F"/>
    <w:rsid w:val="000F58FA"/>
    <w:rsid w:val="0014360E"/>
    <w:rsid w:val="0014589A"/>
    <w:rsid w:val="001664B0"/>
    <w:rsid w:val="00183997"/>
    <w:rsid w:val="00184F56"/>
    <w:rsid w:val="00195D13"/>
    <w:rsid w:val="001A5D5B"/>
    <w:rsid w:val="001B2637"/>
    <w:rsid w:val="001B3342"/>
    <w:rsid w:val="001D2E7B"/>
    <w:rsid w:val="001D346B"/>
    <w:rsid w:val="001D4809"/>
    <w:rsid w:val="001D5FA6"/>
    <w:rsid w:val="001E1437"/>
    <w:rsid w:val="001F4C59"/>
    <w:rsid w:val="002331A7"/>
    <w:rsid w:val="002340A4"/>
    <w:rsid w:val="00237474"/>
    <w:rsid w:val="0024581C"/>
    <w:rsid w:val="002505A8"/>
    <w:rsid w:val="00267E6B"/>
    <w:rsid w:val="00292629"/>
    <w:rsid w:val="00293821"/>
    <w:rsid w:val="0029540A"/>
    <w:rsid w:val="00297E70"/>
    <w:rsid w:val="002B22F6"/>
    <w:rsid w:val="002C1BF5"/>
    <w:rsid w:val="002F3D08"/>
    <w:rsid w:val="00301373"/>
    <w:rsid w:val="003453FE"/>
    <w:rsid w:val="00347A50"/>
    <w:rsid w:val="0036184D"/>
    <w:rsid w:val="0036369D"/>
    <w:rsid w:val="0038185D"/>
    <w:rsid w:val="003C0868"/>
    <w:rsid w:val="003D36A1"/>
    <w:rsid w:val="00424E96"/>
    <w:rsid w:val="00425B96"/>
    <w:rsid w:val="0043567A"/>
    <w:rsid w:val="004469B6"/>
    <w:rsid w:val="00465A63"/>
    <w:rsid w:val="00471011"/>
    <w:rsid w:val="0047136D"/>
    <w:rsid w:val="004745D9"/>
    <w:rsid w:val="00476512"/>
    <w:rsid w:val="00476905"/>
    <w:rsid w:val="00476EFC"/>
    <w:rsid w:val="00482C99"/>
    <w:rsid w:val="00493D0D"/>
    <w:rsid w:val="00493F6F"/>
    <w:rsid w:val="004C4B69"/>
    <w:rsid w:val="004C4E7B"/>
    <w:rsid w:val="004D087C"/>
    <w:rsid w:val="004D0C18"/>
    <w:rsid w:val="004F421B"/>
    <w:rsid w:val="00513E96"/>
    <w:rsid w:val="005367E6"/>
    <w:rsid w:val="005B31C6"/>
    <w:rsid w:val="005D36E2"/>
    <w:rsid w:val="005E6838"/>
    <w:rsid w:val="005F0F52"/>
    <w:rsid w:val="005F4D34"/>
    <w:rsid w:val="005F658B"/>
    <w:rsid w:val="006147C1"/>
    <w:rsid w:val="0063111D"/>
    <w:rsid w:val="00634228"/>
    <w:rsid w:val="00644AF1"/>
    <w:rsid w:val="00654F38"/>
    <w:rsid w:val="006759B2"/>
    <w:rsid w:val="00691ABC"/>
    <w:rsid w:val="006A1EB0"/>
    <w:rsid w:val="006A40F4"/>
    <w:rsid w:val="006B008B"/>
    <w:rsid w:val="006B102D"/>
    <w:rsid w:val="006B798F"/>
    <w:rsid w:val="006C504B"/>
    <w:rsid w:val="006C5936"/>
    <w:rsid w:val="006F1822"/>
    <w:rsid w:val="00734B06"/>
    <w:rsid w:val="00745883"/>
    <w:rsid w:val="00752DC7"/>
    <w:rsid w:val="007670CF"/>
    <w:rsid w:val="007749DA"/>
    <w:rsid w:val="00797589"/>
    <w:rsid w:val="007B5E1E"/>
    <w:rsid w:val="007C4EDC"/>
    <w:rsid w:val="007E47B8"/>
    <w:rsid w:val="007E7907"/>
    <w:rsid w:val="007F2057"/>
    <w:rsid w:val="00816E76"/>
    <w:rsid w:val="00820B34"/>
    <w:rsid w:val="00831F09"/>
    <w:rsid w:val="0083474F"/>
    <w:rsid w:val="00846FBE"/>
    <w:rsid w:val="00861238"/>
    <w:rsid w:val="008617D2"/>
    <w:rsid w:val="00875CDC"/>
    <w:rsid w:val="008B6898"/>
    <w:rsid w:val="008C5364"/>
    <w:rsid w:val="008C7553"/>
    <w:rsid w:val="008F5B56"/>
    <w:rsid w:val="00916951"/>
    <w:rsid w:val="00921EC6"/>
    <w:rsid w:val="00944CAE"/>
    <w:rsid w:val="009574F4"/>
    <w:rsid w:val="00961398"/>
    <w:rsid w:val="00971740"/>
    <w:rsid w:val="009763FB"/>
    <w:rsid w:val="00993DB1"/>
    <w:rsid w:val="009A2EBA"/>
    <w:rsid w:val="009A6EE0"/>
    <w:rsid w:val="009B7A45"/>
    <w:rsid w:val="009C2563"/>
    <w:rsid w:val="009C5A3E"/>
    <w:rsid w:val="009D5166"/>
    <w:rsid w:val="009E3FB3"/>
    <w:rsid w:val="009E7E38"/>
    <w:rsid w:val="00A002B7"/>
    <w:rsid w:val="00A31843"/>
    <w:rsid w:val="00A804BC"/>
    <w:rsid w:val="00A8691B"/>
    <w:rsid w:val="00AD2C62"/>
    <w:rsid w:val="00AE2773"/>
    <w:rsid w:val="00B01050"/>
    <w:rsid w:val="00B403F7"/>
    <w:rsid w:val="00B90765"/>
    <w:rsid w:val="00BA3FC8"/>
    <w:rsid w:val="00BB0760"/>
    <w:rsid w:val="00BD3FB1"/>
    <w:rsid w:val="00BD5C77"/>
    <w:rsid w:val="00BE621D"/>
    <w:rsid w:val="00BF2EA4"/>
    <w:rsid w:val="00C210BC"/>
    <w:rsid w:val="00C56029"/>
    <w:rsid w:val="00C64725"/>
    <w:rsid w:val="00C800A5"/>
    <w:rsid w:val="00C959C7"/>
    <w:rsid w:val="00CD60BE"/>
    <w:rsid w:val="00CD65FB"/>
    <w:rsid w:val="00CE325E"/>
    <w:rsid w:val="00CE5654"/>
    <w:rsid w:val="00CF0411"/>
    <w:rsid w:val="00D0018F"/>
    <w:rsid w:val="00D1204D"/>
    <w:rsid w:val="00D13FD3"/>
    <w:rsid w:val="00D16940"/>
    <w:rsid w:val="00D21DBA"/>
    <w:rsid w:val="00D34496"/>
    <w:rsid w:val="00D5313D"/>
    <w:rsid w:val="00D53C2E"/>
    <w:rsid w:val="00D90504"/>
    <w:rsid w:val="00D92BBB"/>
    <w:rsid w:val="00DA612D"/>
    <w:rsid w:val="00DB0077"/>
    <w:rsid w:val="00DD1784"/>
    <w:rsid w:val="00DD60A2"/>
    <w:rsid w:val="00E16395"/>
    <w:rsid w:val="00E24F6D"/>
    <w:rsid w:val="00E3669A"/>
    <w:rsid w:val="00EA2EF6"/>
    <w:rsid w:val="00EA6C87"/>
    <w:rsid w:val="00EC0C2E"/>
    <w:rsid w:val="00EE3EDA"/>
    <w:rsid w:val="00EE6E39"/>
    <w:rsid w:val="00F27435"/>
    <w:rsid w:val="00F32D02"/>
    <w:rsid w:val="00F6381F"/>
    <w:rsid w:val="00F73205"/>
    <w:rsid w:val="00F76751"/>
    <w:rsid w:val="00FA3D97"/>
    <w:rsid w:val="00FB1EF5"/>
    <w:rsid w:val="00FC025A"/>
    <w:rsid w:val="00FD0E48"/>
    <w:rsid w:val="00FD2816"/>
    <w:rsid w:val="00FD4E77"/>
    <w:rsid w:val="00FE21F9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95D13"/>
  </w:style>
  <w:style w:type="character" w:customStyle="1" w:styleId="grame">
    <w:name w:val="grame"/>
    <w:basedOn w:val="a0"/>
    <w:rsid w:val="000B7D79"/>
  </w:style>
  <w:style w:type="paragraph" w:customStyle="1" w:styleId="a3">
    <w:name w:val="Знак"/>
    <w:basedOn w:val="a"/>
    <w:rsid w:val="009169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91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D2E7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E6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769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12985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   d</vt:lpstr>
    </vt:vector>
  </TitlesOfParts>
  <Company>-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  d</dc:title>
  <dc:subject/>
  <dc:creator>втз</dc:creator>
  <cp:keywords/>
  <cp:lastModifiedBy>Пасиленко Ганна Михайлівна</cp:lastModifiedBy>
  <cp:revision>2</cp:revision>
  <cp:lastPrinted>2019-08-21T05:27:00Z</cp:lastPrinted>
  <dcterms:created xsi:type="dcterms:W3CDTF">2019-11-15T08:05:00Z</dcterms:created>
  <dcterms:modified xsi:type="dcterms:W3CDTF">2019-11-15T08:05:00Z</dcterms:modified>
</cp:coreProperties>
</file>