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8A7EF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A7EF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1942FE">
        <w:rPr>
          <w:sz w:val="28"/>
          <w:szCs w:val="28"/>
          <w:lang w:val="uk-UA"/>
        </w:rPr>
        <w:t xml:space="preserve"> </w:t>
      </w:r>
      <w:r w:rsidR="001942FE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942FE" w:rsidRPr="002635CF">
        <w:rPr>
          <w:sz w:val="28"/>
          <w:szCs w:val="28"/>
        </w:rPr>
        <w:t xml:space="preserve">24 </w:t>
      </w:r>
      <w:r w:rsidR="001942FE">
        <w:rPr>
          <w:sz w:val="28"/>
          <w:szCs w:val="28"/>
          <w:lang w:val="uk-UA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8A7EFA" w:rsidRPr="001942F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1942FE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9F037A">
              <w:rPr>
                <w:sz w:val="28"/>
                <w:szCs w:val="28"/>
                <w:lang w:val="uk-UA"/>
              </w:rPr>
              <w:t xml:space="preserve"> району, загальною площею 0,0051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8A7EFA" w:rsidRDefault="008A7EFA" w:rsidP="008A7E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BB4DC3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42FE" w:rsidRDefault="001942F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610B7D">
        <w:rPr>
          <w:sz w:val="28"/>
          <w:szCs w:val="28"/>
          <w:lang w:val="uk-UA"/>
        </w:rPr>
        <w:t>5</w:t>
      </w:r>
      <w:r w:rsidR="009F037A">
        <w:rPr>
          <w:sz w:val="28"/>
          <w:szCs w:val="28"/>
          <w:lang w:val="uk-UA"/>
        </w:rPr>
        <w:t>1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942FE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8A7EFA" w:rsidRPr="001942FE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942FE">
        <w:rPr>
          <w:sz w:val="28"/>
          <w:szCs w:val="28"/>
          <w:lang w:val="uk-UA"/>
        </w:rPr>
        <w:t>294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3"/>
        <w:gridCol w:w="1703"/>
      </w:tblGrid>
      <w:tr w:rsidR="001942FE" w:rsidRPr="004F580C" w:rsidTr="001942FE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FE" w:rsidRPr="00DB3632" w:rsidRDefault="001942F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942FE" w:rsidRPr="00DB3632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942FE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942FE" w:rsidRPr="00862403" w:rsidRDefault="001942FE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FE" w:rsidRPr="00862403" w:rsidRDefault="001942F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942FE" w:rsidRPr="004F580C" w:rsidTr="001942FE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E" w:rsidRPr="004F580C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E" w:rsidRPr="004F580C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E" w:rsidRPr="004F580C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E" w:rsidRPr="004F580C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E" w:rsidRPr="004F580C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E" w:rsidRPr="004F580C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942FE" w:rsidRPr="00D61391" w:rsidTr="001942FE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1942FE" w:rsidRDefault="001942F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942FE" w:rsidRDefault="001942F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1942FE" w:rsidRPr="005E59E5" w:rsidRDefault="001942F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1942FE" w:rsidRPr="004A66E1" w:rsidRDefault="001942FE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«РП-4-ТП 174, 90»</w:t>
            </w:r>
          </w:p>
          <w:p w:rsidR="001942FE" w:rsidRDefault="001942F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1942FE" w:rsidRDefault="001942FE" w:rsidP="006819AE">
            <w:pPr>
              <w:rPr>
                <w:sz w:val="28"/>
                <w:szCs w:val="28"/>
                <w:lang w:val="uk-UA"/>
              </w:rPr>
            </w:pPr>
          </w:p>
          <w:p w:rsidR="001942FE" w:rsidRDefault="001942FE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01:1008, опора № 1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01:1009, опора № 2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3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4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01:1012, опора № 5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опора № 6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01:1014, опора № 7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01:1015, опора № 8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01:1016, опора № 9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01:1017, опора № 10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01:1018, опора № 11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01:1019, опора № 12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01:1020, опора № 13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01:1021, опора № 14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01:1023, опора № 16</w:t>
            </w:r>
          </w:p>
          <w:p w:rsidR="001942FE" w:rsidRDefault="001942FE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942FE" w:rsidRPr="0040402C" w:rsidRDefault="001942FE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1942FE" w:rsidRPr="004A66E1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0051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9F0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9F03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1942FE" w:rsidRDefault="001942FE" w:rsidP="00A12AA4">
            <w:pPr>
              <w:rPr>
                <w:sz w:val="28"/>
                <w:szCs w:val="28"/>
                <w:lang w:val="uk-UA"/>
              </w:rPr>
            </w:pPr>
          </w:p>
          <w:p w:rsidR="001942FE" w:rsidRDefault="001942FE" w:rsidP="008A7E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3" w:type="pct"/>
            <w:shd w:val="clear" w:color="auto" w:fill="auto"/>
          </w:tcPr>
          <w:p w:rsidR="001942FE" w:rsidRPr="000B674F" w:rsidRDefault="001942F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1942FE" w:rsidRDefault="001942F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2635CF" w:rsidRDefault="00305AB3" w:rsidP="00305AB3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1D06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942FE"/>
    <w:rsid w:val="001B4991"/>
    <w:rsid w:val="001B5902"/>
    <w:rsid w:val="001C35ED"/>
    <w:rsid w:val="001D547C"/>
    <w:rsid w:val="001F5C2E"/>
    <w:rsid w:val="001F7D67"/>
    <w:rsid w:val="00223F44"/>
    <w:rsid w:val="0025269E"/>
    <w:rsid w:val="002635CF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774CD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A7EFA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021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B4DC3"/>
    <w:rsid w:val="00BC3DB7"/>
    <w:rsid w:val="00BD2EA7"/>
    <w:rsid w:val="00BD4CB7"/>
    <w:rsid w:val="00BE1D0E"/>
    <w:rsid w:val="00BE248F"/>
    <w:rsid w:val="00BE6E03"/>
    <w:rsid w:val="00BE7456"/>
    <w:rsid w:val="00C03581"/>
    <w:rsid w:val="00C07767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02C4-3F19-480B-A04A-7C3A742D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2021-02-26T07:46:00Z</cp:lastPrinted>
  <dcterms:created xsi:type="dcterms:W3CDTF">2021-02-25T09:24:00Z</dcterms:created>
  <dcterms:modified xsi:type="dcterms:W3CDTF">2021-02-26T09:45:00Z</dcterms:modified>
</cp:coreProperties>
</file>