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D04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D04FE">
        <w:rPr>
          <w:sz w:val="28"/>
          <w:szCs w:val="36"/>
          <w:lang w:val="uk-UA"/>
        </w:rPr>
        <w:t>Х</w:t>
      </w:r>
      <w:r w:rsidR="000D04FE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0D04FE">
        <w:rPr>
          <w:sz w:val="28"/>
          <w:szCs w:val="36"/>
          <w:lang w:val="en-US"/>
        </w:rPr>
        <w:t xml:space="preserve">24 </w:t>
      </w:r>
      <w:r w:rsidR="000D04FE">
        <w:rPr>
          <w:sz w:val="28"/>
          <w:szCs w:val="36"/>
          <w:lang w:val="uk-UA"/>
        </w:rPr>
        <w:t>листопада</w:t>
      </w:r>
      <w:r w:rsidR="000D04FE" w:rsidRPr="00ED7B29"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2021 року № </w:t>
      </w:r>
      <w:r w:rsidR="000D04FE">
        <w:rPr>
          <w:sz w:val="28"/>
          <w:szCs w:val="28"/>
          <w:lang w:val="uk-UA"/>
        </w:rPr>
        <w:t>2402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B72A27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8A741B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Журбенку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="00B72A27">
              <w:rPr>
                <w:sz w:val="28"/>
                <w:szCs w:val="28"/>
                <w:lang w:val="uk-UA"/>
              </w:rPr>
              <w:t>Олександру</w:t>
            </w:r>
            <w:r w:rsidR="00A44872">
              <w:rPr>
                <w:sz w:val="28"/>
                <w:szCs w:val="28"/>
                <w:lang w:val="uk-UA"/>
              </w:rPr>
              <w:t xml:space="preserve"> Михайловичу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8A741B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8A741B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8A741B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A44872">
        <w:rPr>
          <w:sz w:val="28"/>
          <w:szCs w:val="28"/>
          <w:lang w:val="uk-UA"/>
        </w:rPr>
        <w:t>Журбенку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r w:rsidR="00B72A27">
        <w:rPr>
          <w:sz w:val="28"/>
          <w:szCs w:val="28"/>
          <w:lang w:val="uk-UA"/>
        </w:rPr>
        <w:t xml:space="preserve">Олександру </w:t>
      </w:r>
      <w:r w:rsidR="00A44872">
        <w:rPr>
          <w:sz w:val="28"/>
          <w:szCs w:val="28"/>
          <w:lang w:val="uk-UA"/>
        </w:rPr>
        <w:t xml:space="preserve">Михайловичу </w:t>
      </w:r>
      <w:r w:rsidR="00B72A27">
        <w:rPr>
          <w:sz w:val="28"/>
          <w:szCs w:val="28"/>
          <w:lang w:val="uk-UA"/>
        </w:rPr>
        <w:t xml:space="preserve">(2112622235) </w:t>
      </w:r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D04FE" w:rsidRPr="006C4BB7" w:rsidRDefault="000D04FE" w:rsidP="000D04FE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0D04FE" w:rsidRPr="009F0B8C" w:rsidRDefault="000D04FE" w:rsidP="000D04F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F5CA8" w:rsidRDefault="000D04FE" w:rsidP="000D04FE">
      <w:pPr>
        <w:tabs>
          <w:tab w:val="left" w:pos="0"/>
        </w:tabs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bookmarkStart w:id="0" w:name="_GoBack"/>
      <w:bookmarkEnd w:id="0"/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04FE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A741B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2A27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F3C0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FC31-AD24-4572-94BD-3CA004B8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30</cp:revision>
  <cp:lastPrinted>2021-09-21T05:58:00Z</cp:lastPrinted>
  <dcterms:created xsi:type="dcterms:W3CDTF">2021-06-30T08:48:00Z</dcterms:created>
  <dcterms:modified xsi:type="dcterms:W3CDTF">2021-11-25T12:07:00Z</dcterms:modified>
</cp:coreProperties>
</file>