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88" w:rsidRDefault="00341388" w:rsidP="00786627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0378CA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1223CC" w:rsidRPr="001223CC" w:rsidRDefault="001223CC" w:rsidP="001223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="00BD73B9">
              <w:rPr>
                <w:bCs/>
                <w:sz w:val="28"/>
                <w:szCs w:val="28"/>
                <w:lang w:val="uk-UA"/>
              </w:rPr>
              <w:br/>
            </w:r>
            <w:r w:rsidRPr="001223CC">
              <w:rPr>
                <w:bCs/>
                <w:sz w:val="28"/>
                <w:szCs w:val="28"/>
                <w:lang w:val="uk-UA"/>
              </w:rPr>
              <w:t>«Про Програму підвищення енергоефективності в бюджетній сфері Сумської міської</w:t>
            </w:r>
            <w:r w:rsidR="00BD73B9">
              <w:rPr>
                <w:bCs/>
                <w:sz w:val="28"/>
                <w:szCs w:val="28"/>
                <w:lang w:val="uk-UA"/>
              </w:rPr>
              <w:t xml:space="preserve"> територіальної громади на 2022-2024</w:t>
            </w:r>
            <w:r w:rsidRPr="001223CC">
              <w:rPr>
                <w:bCs/>
                <w:sz w:val="28"/>
                <w:szCs w:val="28"/>
                <w:lang w:val="uk-UA"/>
              </w:rPr>
              <w:t xml:space="preserve"> роки»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  <w:p w:rsidR="001223CC" w:rsidRPr="00C8750B" w:rsidRDefault="001223CC" w:rsidP="002A126C">
            <w:pPr>
              <w:jc w:val="both"/>
              <w:rPr>
                <w:bCs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2A126C">
              <w:rPr>
                <w:bCs/>
                <w:sz w:val="28"/>
                <w:szCs w:val="28"/>
                <w:lang w:val="uk-UA"/>
              </w:rPr>
              <w:t>26 січня 2022 року</w:t>
            </w:r>
            <w:r w:rsidR="002B36AC" w:rsidRPr="002C3D37">
              <w:rPr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Pr="001223CC">
              <w:rPr>
                <w:bCs/>
                <w:sz w:val="28"/>
                <w:szCs w:val="28"/>
                <w:lang w:val="uk-UA"/>
              </w:rPr>
              <w:t>№</w:t>
            </w:r>
            <w:r w:rsidR="00A77B6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A126C">
              <w:rPr>
                <w:bCs/>
                <w:sz w:val="28"/>
                <w:szCs w:val="28"/>
                <w:lang w:val="uk-UA"/>
              </w:rPr>
              <w:t>2715-МР</w:t>
            </w:r>
            <w:r w:rsidR="002B36AC" w:rsidRPr="002C3D37">
              <w:rPr>
                <w:bCs/>
                <w:color w:val="FFFFFF" w:themeColor="background1"/>
                <w:sz w:val="28"/>
                <w:szCs w:val="28"/>
                <w:lang w:val="uk-UA"/>
              </w:rPr>
              <w:t>7552</w:t>
            </w:r>
          </w:p>
        </w:tc>
      </w:tr>
    </w:tbl>
    <w:p w:rsidR="001223CC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A6003A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B96C03" w:rsidRDefault="001223CC" w:rsidP="001223CC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 xml:space="preserve">Сумської міської </w:t>
      </w:r>
      <w:r w:rsidR="00963A50">
        <w:rPr>
          <w:b/>
          <w:sz w:val="28"/>
          <w:szCs w:val="28"/>
          <w:lang w:val="uk-UA"/>
        </w:rPr>
        <w:t>т</w:t>
      </w:r>
      <w:r w:rsidR="00BD73B9">
        <w:rPr>
          <w:b/>
          <w:sz w:val="28"/>
          <w:szCs w:val="28"/>
          <w:lang w:val="uk-UA"/>
        </w:rPr>
        <w:t>ериторіальної громади на 2022-2024</w:t>
      </w:r>
      <w:r w:rsidRPr="00735964">
        <w:rPr>
          <w:b/>
          <w:sz w:val="28"/>
          <w:szCs w:val="28"/>
          <w:lang w:val="uk-UA"/>
        </w:rPr>
        <w:t xml:space="preserve"> роки</w:t>
      </w:r>
    </w:p>
    <w:p w:rsidR="001223CC" w:rsidRPr="00AC42B3" w:rsidRDefault="001223CC" w:rsidP="001223CC">
      <w:pPr>
        <w:jc w:val="both"/>
        <w:rPr>
          <w:b/>
          <w:sz w:val="16"/>
          <w:szCs w:val="16"/>
          <w:lang w:val="uk-UA"/>
        </w:rPr>
      </w:pPr>
    </w:p>
    <w:p w:rsidR="001223CC" w:rsidRPr="00B96C03" w:rsidRDefault="001223CC" w:rsidP="001223CC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DA0465" w:rsidRPr="00DA0465" w:rsidRDefault="00DA0465" w:rsidP="00DA0465">
      <w:pPr>
        <w:ind w:left="720"/>
        <w:contextualSpacing/>
        <w:jc w:val="both"/>
        <w:rPr>
          <w:b/>
          <w:sz w:val="14"/>
          <w:szCs w:val="26"/>
          <w:lang w:val="uk-UA"/>
        </w:rPr>
      </w:pPr>
    </w:p>
    <w:p w:rsidR="00DA0465" w:rsidRPr="00BD6223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BD6223">
        <w:rPr>
          <w:rFonts w:eastAsia="Calibri"/>
          <w:color w:val="000000"/>
          <w:sz w:val="28"/>
          <w:szCs w:val="28"/>
          <w:lang w:val="uk-UA"/>
        </w:rPr>
        <w:t>Мета програми − зменшення споживання енергетичних ресурсів бюджетни</w:t>
      </w:r>
      <w:r w:rsidR="009C0C73">
        <w:rPr>
          <w:rFonts w:eastAsia="Calibri"/>
          <w:color w:val="000000"/>
          <w:sz w:val="28"/>
          <w:szCs w:val="28"/>
          <w:lang w:val="uk-UA"/>
        </w:rPr>
        <w:t xml:space="preserve">ми установами Сумської міської </w:t>
      </w:r>
      <w:r w:rsidRPr="00BD6223">
        <w:rPr>
          <w:rFonts w:eastAsia="Calibri"/>
          <w:color w:val="000000"/>
          <w:sz w:val="28"/>
          <w:szCs w:val="28"/>
          <w:lang w:val="uk-UA"/>
        </w:rPr>
        <w:t>територіальної громади, створення комфортних умов перебування в</w:t>
      </w:r>
      <w:r w:rsidR="00BD73B9" w:rsidRPr="00BD6223">
        <w:rPr>
          <w:rFonts w:eastAsia="Calibri"/>
          <w:color w:val="000000"/>
          <w:sz w:val="28"/>
          <w:szCs w:val="28"/>
          <w:lang w:val="uk-UA"/>
        </w:rPr>
        <w:t xml:space="preserve"> будівлях бюджетної сфери.</w:t>
      </w:r>
    </w:p>
    <w:p w:rsidR="00DA0465" w:rsidRPr="00DA0465" w:rsidRDefault="00DA0465" w:rsidP="00DA0465">
      <w:pPr>
        <w:ind w:firstLine="566"/>
        <w:contextualSpacing/>
        <w:jc w:val="both"/>
        <w:rPr>
          <w:sz w:val="28"/>
          <w:szCs w:val="28"/>
          <w:lang w:val="uk-UA"/>
        </w:rPr>
      </w:pPr>
      <w:r w:rsidRPr="00BD6223">
        <w:rPr>
          <w:sz w:val="28"/>
          <w:szCs w:val="28"/>
          <w:lang w:val="uk-UA"/>
        </w:rPr>
        <w:t>Програма підвищення енергетичної ефективності в бюджетній сфері Сумської міської</w:t>
      </w:r>
      <w:r w:rsidR="009C0C73">
        <w:rPr>
          <w:sz w:val="28"/>
          <w:szCs w:val="28"/>
          <w:lang w:val="uk-UA"/>
        </w:rPr>
        <w:t xml:space="preserve"> </w:t>
      </w:r>
      <w:r w:rsidR="00BD6223">
        <w:rPr>
          <w:sz w:val="28"/>
          <w:szCs w:val="28"/>
          <w:lang w:val="uk-UA"/>
        </w:rPr>
        <w:t>територіальної громади на 2022-2024</w:t>
      </w:r>
      <w:r w:rsidRPr="00BD6223">
        <w:rPr>
          <w:sz w:val="28"/>
          <w:szCs w:val="28"/>
          <w:lang w:val="uk-UA"/>
        </w:rPr>
        <w:t xml:space="preserve"> роки (далі − Програма) передбачає реалізацію енергетичної політики </w:t>
      </w:r>
      <w:r w:rsidR="000E48CA">
        <w:rPr>
          <w:sz w:val="28"/>
          <w:szCs w:val="28"/>
          <w:lang w:val="uk-UA"/>
        </w:rPr>
        <w:t>Сумської міської територіальної громади</w:t>
      </w:r>
      <w:r w:rsidRPr="00BD6223">
        <w:rPr>
          <w:sz w:val="28"/>
          <w:szCs w:val="28"/>
          <w:lang w:val="uk-UA"/>
        </w:rPr>
        <w:t>, спрямованої на підвищення енергоефективності будівель комунальних некомерційних підприємств Сумської міської ради, бюджетних установ, що утримую</w:t>
      </w:r>
      <w:r w:rsidR="00BD6223">
        <w:rPr>
          <w:sz w:val="28"/>
          <w:szCs w:val="28"/>
          <w:lang w:val="uk-UA"/>
        </w:rPr>
        <w:t xml:space="preserve">ться за кошти Сумської міської </w:t>
      </w:r>
      <w:r w:rsidRPr="00BD6223">
        <w:rPr>
          <w:sz w:val="28"/>
          <w:szCs w:val="28"/>
          <w:lang w:val="uk-UA"/>
        </w:rPr>
        <w:t xml:space="preserve">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 w:rsidRPr="00BD6223">
        <w:rPr>
          <w:sz w:val="28"/>
          <w:szCs w:val="28"/>
          <w:lang w:val="en-US"/>
        </w:rPr>
        <w:t>ISO</w:t>
      </w:r>
      <w:r w:rsidRPr="00BD6223">
        <w:rPr>
          <w:sz w:val="28"/>
          <w:szCs w:val="28"/>
          <w:lang w:val="uk-UA"/>
        </w:rPr>
        <w:t xml:space="preserve"> 50001. </w:t>
      </w:r>
      <w:r w:rsidR="000E48CA" w:rsidRPr="00193227">
        <w:rPr>
          <w:sz w:val="28"/>
          <w:szCs w:val="28"/>
          <w:lang w:val="uk-UA"/>
        </w:rPr>
        <w:t>Пріоритетним завданням є адаптація до наслідків зміни клімату та розробка Плану дій сталого енергетичного розвитку та клімату Сумської міської територіальної громади до 2030 року</w:t>
      </w:r>
      <w:r w:rsidRPr="00193227">
        <w:rPr>
          <w:sz w:val="28"/>
          <w:szCs w:val="28"/>
          <w:lang w:val="uk-UA"/>
        </w:rPr>
        <w:t>.</w:t>
      </w:r>
    </w:p>
    <w:p w:rsidR="00DA0465" w:rsidRPr="00DA0465" w:rsidRDefault="00DA0465" w:rsidP="00DA0465">
      <w:pPr>
        <w:ind w:left="720"/>
        <w:contextualSpacing/>
        <w:jc w:val="both"/>
        <w:rPr>
          <w:sz w:val="10"/>
          <w:szCs w:val="10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b/>
          <w:sz w:val="28"/>
          <w:szCs w:val="28"/>
          <w:lang w:val="uk-UA"/>
        </w:rPr>
      </w:pPr>
      <w:r w:rsidRPr="00DA0465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numPr>
                <w:ilvl w:val="0"/>
                <w:numId w:val="4"/>
              </w:numPr>
              <w:ind w:left="301" w:hanging="301"/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2153A3" w:rsidP="00DA0465">
            <w:pPr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</w:t>
            </w:r>
          </w:p>
        </w:tc>
      </w:tr>
      <w:tr w:rsidR="00DA0465" w:rsidRPr="00782839" w:rsidTr="00DB2D43">
        <w:trPr>
          <w:trHeight w:val="2156"/>
        </w:trPr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DA0465" w:rsidP="00DA0465">
            <w:pPr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DA0465" w:rsidRPr="00782839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871C25" w:rsidRDefault="00DA0465" w:rsidP="00DA0465">
            <w:pPr>
              <w:numPr>
                <w:ilvl w:val="0"/>
                <w:numId w:val="4"/>
              </w:numPr>
              <w:ind w:left="301"/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871C25" w:rsidRDefault="00DA0465" w:rsidP="00DA0465">
            <w:pPr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DA0465" w:rsidRPr="00782839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 xml:space="preserve">4. </w:t>
            </w:r>
            <w:proofErr w:type="spellStart"/>
            <w:r w:rsidRPr="00871C25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871C25">
              <w:rPr>
                <w:sz w:val="27"/>
                <w:szCs w:val="27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E631B0" w:rsidRDefault="00BD73B9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E631B0">
              <w:rPr>
                <w:sz w:val="26"/>
                <w:szCs w:val="26"/>
                <w:lang w:val="uk-UA"/>
              </w:rPr>
              <w:t>Департамент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соціального захисту населення Сумської міської ради</w:t>
            </w:r>
            <w:r w:rsidRPr="00E631B0">
              <w:rPr>
                <w:sz w:val="26"/>
                <w:szCs w:val="26"/>
                <w:lang w:val="uk-UA"/>
              </w:rPr>
              <w:t xml:space="preserve">, 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управління </w:t>
            </w:r>
            <w:r w:rsidR="00DA0465" w:rsidRPr="00E631B0">
              <w:rPr>
                <w:sz w:val="26"/>
                <w:szCs w:val="26"/>
                <w:lang w:val="uk-UA"/>
              </w:rPr>
              <w:t>освіти і науки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E631B0">
              <w:rPr>
                <w:sz w:val="26"/>
                <w:szCs w:val="26"/>
                <w:lang w:val="uk-UA"/>
              </w:rPr>
              <w:t>,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управління</w:t>
            </w:r>
            <w:r w:rsidR="00DA0465" w:rsidRPr="00E631B0">
              <w:rPr>
                <w:sz w:val="26"/>
                <w:szCs w:val="26"/>
                <w:lang w:val="uk-UA"/>
              </w:rPr>
              <w:t xml:space="preserve"> капітального будівництва та дорожнього господарства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E631B0">
              <w:rPr>
                <w:sz w:val="26"/>
                <w:szCs w:val="26"/>
                <w:lang w:val="uk-UA"/>
              </w:rPr>
              <w:t xml:space="preserve">, </w:t>
            </w:r>
            <w:r w:rsidR="002153A3" w:rsidRPr="00E631B0">
              <w:rPr>
                <w:sz w:val="26"/>
                <w:szCs w:val="26"/>
                <w:lang w:val="uk-UA"/>
              </w:rPr>
              <w:lastRenderedPageBreak/>
              <w:t xml:space="preserve">управління охорони здоров’я </w:t>
            </w:r>
            <w:r w:rsidRPr="00E631B0">
              <w:rPr>
                <w:sz w:val="26"/>
                <w:szCs w:val="26"/>
                <w:lang w:val="uk-UA"/>
              </w:rPr>
              <w:t>Сумської міської ради</w:t>
            </w:r>
            <w:r w:rsidR="002153A3" w:rsidRPr="00E631B0">
              <w:rPr>
                <w:sz w:val="26"/>
                <w:szCs w:val="26"/>
                <w:lang w:val="uk-UA"/>
              </w:rPr>
              <w:t>, відділ культури Сумської міської ради</w:t>
            </w:r>
          </w:p>
        </w:tc>
      </w:tr>
      <w:tr w:rsidR="00DA0465" w:rsidRPr="00782839" w:rsidTr="00DB2D4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A0465" w:rsidRPr="00871C25" w:rsidRDefault="00DA0465" w:rsidP="00871C2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lastRenderedPageBreak/>
              <w:t>5. Відповідальн</w:t>
            </w:r>
            <w:r w:rsidR="00871C25" w:rsidRPr="00871C25">
              <w:rPr>
                <w:sz w:val="27"/>
                <w:szCs w:val="27"/>
                <w:lang w:val="uk-UA"/>
              </w:rPr>
              <w:t>і</w:t>
            </w:r>
            <w:r w:rsidRPr="00871C25">
              <w:rPr>
                <w:sz w:val="27"/>
                <w:szCs w:val="27"/>
                <w:lang w:val="uk-UA"/>
              </w:rPr>
              <w:t xml:space="preserve"> виконавц</w:t>
            </w:r>
            <w:r w:rsidR="00871C25" w:rsidRPr="00871C25">
              <w:rPr>
                <w:sz w:val="27"/>
                <w:szCs w:val="27"/>
                <w:lang w:val="uk-UA"/>
              </w:rPr>
              <w:t>і</w:t>
            </w:r>
            <w:r w:rsidRPr="00871C25">
              <w:rPr>
                <w:sz w:val="27"/>
                <w:szCs w:val="27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A0465" w:rsidRPr="00E631B0" w:rsidRDefault="00DA0465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E631B0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  <w:r w:rsidR="00871C25" w:rsidRPr="00E631B0">
              <w:rPr>
                <w:sz w:val="26"/>
                <w:szCs w:val="26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6. 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BD73B9" w:rsidP="00DA0465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2022-2024</w:t>
            </w:r>
            <w:r w:rsidR="00DA0465" w:rsidRPr="00871C25">
              <w:rPr>
                <w:sz w:val="27"/>
                <w:szCs w:val="27"/>
                <w:lang w:val="uk-UA"/>
              </w:rPr>
              <w:t xml:space="preserve"> роки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7. 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DA0465" w:rsidP="00285BC0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Бюджет Сумської міської територіальної громади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highlight w:val="yellow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BA53A6" w:rsidRPr="00871C25" w:rsidRDefault="00BA53A6" w:rsidP="00DA0465">
            <w:pPr>
              <w:rPr>
                <w:sz w:val="28"/>
                <w:szCs w:val="28"/>
                <w:lang w:val="uk-UA"/>
              </w:rPr>
            </w:pPr>
          </w:p>
          <w:p w:rsidR="00BA53A6" w:rsidRPr="00871C25" w:rsidRDefault="00BA53A6" w:rsidP="00DA0465">
            <w:pPr>
              <w:rPr>
                <w:sz w:val="28"/>
                <w:szCs w:val="28"/>
                <w:lang w:val="uk-UA"/>
              </w:rPr>
            </w:pPr>
          </w:p>
          <w:p w:rsidR="00DA0465" w:rsidRPr="00871C25" w:rsidRDefault="00BA53A6" w:rsidP="002A126C">
            <w:pPr>
              <w:rPr>
                <w:sz w:val="28"/>
                <w:szCs w:val="28"/>
                <w:highlight w:val="yellow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40</w:t>
            </w:r>
            <w:r w:rsidR="002A126C">
              <w:rPr>
                <w:sz w:val="28"/>
                <w:szCs w:val="28"/>
                <w:lang w:val="uk-UA"/>
              </w:rPr>
              <w:t>3 421 692</w:t>
            </w:r>
            <w:r w:rsidRPr="00871C25">
              <w:rPr>
                <w:sz w:val="28"/>
                <w:szCs w:val="28"/>
                <w:lang w:val="uk-UA"/>
              </w:rPr>
              <w:t>,0</w:t>
            </w:r>
            <w:r w:rsidR="00782839">
              <w:rPr>
                <w:sz w:val="28"/>
                <w:szCs w:val="28"/>
                <w:lang w:val="uk-UA"/>
              </w:rPr>
              <w:t>0 грн</w:t>
            </w:r>
            <w:r w:rsidRPr="00871C25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в тому числі:</w:t>
            </w:r>
          </w:p>
          <w:p w:rsidR="00DA0465" w:rsidRPr="00871C25" w:rsidRDefault="00DA0465" w:rsidP="00285BC0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BA53A6" w:rsidP="00DA0465">
            <w:pPr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20</w:t>
            </w:r>
            <w:r w:rsidR="002A126C">
              <w:rPr>
                <w:sz w:val="28"/>
                <w:szCs w:val="28"/>
                <w:lang w:val="uk-UA"/>
              </w:rPr>
              <w:t>9</w:t>
            </w:r>
            <w:r w:rsidRPr="00871C25">
              <w:rPr>
                <w:sz w:val="28"/>
                <w:szCs w:val="28"/>
                <w:lang w:val="uk-UA"/>
              </w:rPr>
              <w:t> </w:t>
            </w:r>
            <w:r w:rsidR="002A126C">
              <w:rPr>
                <w:sz w:val="28"/>
                <w:szCs w:val="28"/>
                <w:lang w:val="uk-UA"/>
              </w:rPr>
              <w:t>263</w:t>
            </w:r>
            <w:r w:rsidR="00782839">
              <w:rPr>
                <w:sz w:val="28"/>
                <w:szCs w:val="28"/>
                <w:lang w:val="uk-UA"/>
              </w:rPr>
              <w:t> 418,00 грн</w:t>
            </w:r>
            <w:r w:rsidRPr="00871C25">
              <w:rPr>
                <w:sz w:val="28"/>
                <w:szCs w:val="28"/>
                <w:lang w:val="uk-UA"/>
              </w:rPr>
              <w:t>:</w:t>
            </w:r>
          </w:p>
          <w:p w:rsidR="00BA53A6" w:rsidRPr="00871C25" w:rsidRDefault="00BA53A6" w:rsidP="00BA53A6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5 562 827,0</w:t>
            </w:r>
            <w:r w:rsidR="00782839">
              <w:rPr>
                <w:sz w:val="28"/>
                <w:szCs w:val="28"/>
                <w:lang w:val="uk-UA"/>
              </w:rPr>
              <w:t>0 грн</w:t>
            </w:r>
            <w:r w:rsidRPr="00871C25">
              <w:rPr>
                <w:sz w:val="28"/>
                <w:szCs w:val="28"/>
                <w:lang w:val="uk-UA"/>
              </w:rPr>
              <w:t xml:space="preserve"> - загальний фонд;</w:t>
            </w:r>
          </w:p>
          <w:p w:rsidR="00BA53A6" w:rsidRPr="00871C25" w:rsidRDefault="00BA53A6" w:rsidP="002A126C">
            <w:pPr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20</w:t>
            </w:r>
            <w:r w:rsidR="002A126C">
              <w:rPr>
                <w:sz w:val="28"/>
                <w:szCs w:val="28"/>
                <w:lang w:val="uk-UA"/>
              </w:rPr>
              <w:t>3</w:t>
            </w:r>
            <w:r w:rsidRPr="00871C25">
              <w:rPr>
                <w:sz w:val="28"/>
                <w:szCs w:val="28"/>
                <w:lang w:val="uk-UA"/>
              </w:rPr>
              <w:t> </w:t>
            </w:r>
            <w:r w:rsidR="002A126C">
              <w:rPr>
                <w:sz w:val="28"/>
                <w:szCs w:val="28"/>
                <w:lang w:val="uk-UA"/>
              </w:rPr>
              <w:t>700</w:t>
            </w:r>
            <w:r w:rsidR="00782839">
              <w:rPr>
                <w:sz w:val="28"/>
                <w:szCs w:val="28"/>
                <w:lang w:val="uk-UA"/>
              </w:rPr>
              <w:t> 591,00 грн</w:t>
            </w:r>
            <w:r w:rsidRPr="00871C25">
              <w:rPr>
                <w:sz w:val="28"/>
                <w:szCs w:val="28"/>
                <w:lang w:val="uk-UA"/>
              </w:rPr>
              <w:t xml:space="preserve"> - спеціальний фонд;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 xml:space="preserve">інші джерела </w:t>
            </w:r>
            <w:r w:rsidR="00285BC0" w:rsidRPr="00871C25">
              <w:rPr>
                <w:sz w:val="27"/>
                <w:szCs w:val="27"/>
                <w:lang w:val="uk-UA"/>
              </w:rPr>
              <w:t>(кредитні кошти, гранти, кошти державного бюджету)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BA53A6" w:rsidP="00DA0465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194 158 274,0</w:t>
            </w:r>
            <w:r w:rsidR="00782839">
              <w:rPr>
                <w:sz w:val="28"/>
                <w:szCs w:val="28"/>
                <w:lang w:val="uk-UA"/>
              </w:rPr>
              <w:t>0 грн</w:t>
            </w:r>
          </w:p>
        </w:tc>
      </w:tr>
    </w:tbl>
    <w:p w:rsidR="00DA0465" w:rsidRPr="00BD73B9" w:rsidRDefault="00DA0465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DA0465" w:rsidRPr="00BD73B9" w:rsidRDefault="00DA0465" w:rsidP="00DA0465">
      <w:pPr>
        <w:ind w:left="720" w:right="282"/>
        <w:contextualSpacing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Ресурсне забезпечення</w:t>
      </w:r>
    </w:p>
    <w:p w:rsidR="00DA0465" w:rsidRPr="00BD73B9" w:rsidRDefault="00782839" w:rsidP="00DA0465">
      <w:pPr>
        <w:ind w:left="720" w:right="282"/>
        <w:contextualSpacing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грн</w:t>
      </w:r>
    </w:p>
    <w:p w:rsidR="00DA0465" w:rsidRPr="00BD73B9" w:rsidRDefault="00DA0465" w:rsidP="00DA0465">
      <w:pPr>
        <w:ind w:left="720" w:right="1841"/>
        <w:contextualSpacing/>
        <w:jc w:val="right"/>
        <w:rPr>
          <w:b/>
          <w:sz w:val="10"/>
          <w:szCs w:val="26"/>
          <w:highlight w:val="yellow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841"/>
        <w:gridCol w:w="1841"/>
        <w:gridCol w:w="1728"/>
        <w:gridCol w:w="1841"/>
      </w:tblGrid>
      <w:tr w:rsidR="00DA0465" w:rsidRPr="00BD73B9" w:rsidTr="00DB2D43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DA0465" w:rsidRPr="00BD73B9" w:rsidTr="00DB2D43">
        <w:tc>
          <w:tcPr>
            <w:tcW w:w="2619" w:type="dxa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2024</w:t>
            </w:r>
          </w:p>
        </w:tc>
        <w:tc>
          <w:tcPr>
            <w:tcW w:w="1740" w:type="dxa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DA0465" w:rsidRPr="00BD73B9" w:rsidTr="00DB2D43">
        <w:trPr>
          <w:trHeight w:val="929"/>
        </w:trPr>
        <w:tc>
          <w:tcPr>
            <w:tcW w:w="2619" w:type="dxa"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DA0465" w:rsidRPr="00BD73B9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2A126C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 </w:t>
            </w:r>
            <w:r w:rsidR="002A126C">
              <w:rPr>
                <w:sz w:val="26"/>
                <w:szCs w:val="26"/>
                <w:lang w:val="uk-UA"/>
              </w:rPr>
              <w:t>216</w:t>
            </w:r>
            <w:r>
              <w:rPr>
                <w:sz w:val="26"/>
                <w:szCs w:val="26"/>
                <w:lang w:val="uk-UA"/>
              </w:rPr>
              <w:t> 168,0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158 308 234,0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4959E3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39 897 290,0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DA0465" w:rsidRPr="00BD73B9" w:rsidRDefault="00BA53A6" w:rsidP="002A126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  <w:r w:rsidR="002A126C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 </w:t>
            </w:r>
            <w:r w:rsidR="002A126C">
              <w:rPr>
                <w:sz w:val="26"/>
                <w:szCs w:val="26"/>
                <w:lang w:val="uk-UA"/>
              </w:rPr>
              <w:t>421</w:t>
            </w:r>
            <w:r>
              <w:rPr>
                <w:sz w:val="26"/>
                <w:szCs w:val="26"/>
                <w:lang w:val="uk-UA"/>
              </w:rPr>
              <w:t> 692,0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</w:tr>
      <w:tr w:rsidR="00DA0465" w:rsidRPr="00BD73B9" w:rsidTr="00DB2D43">
        <w:tc>
          <w:tcPr>
            <w:tcW w:w="2619" w:type="dxa"/>
            <w:shd w:val="clear" w:color="auto" w:fill="auto"/>
          </w:tcPr>
          <w:p w:rsidR="00DA0465" w:rsidRPr="00BD73B9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2A126C"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lang w:val="uk-UA"/>
              </w:rPr>
              <w:t> </w:t>
            </w:r>
            <w:r w:rsidR="002A126C">
              <w:rPr>
                <w:sz w:val="26"/>
                <w:szCs w:val="26"/>
                <w:lang w:val="uk-UA"/>
              </w:rPr>
              <w:t>279</w:t>
            </w:r>
            <w:r>
              <w:rPr>
                <w:sz w:val="26"/>
                <w:szCs w:val="26"/>
                <w:lang w:val="uk-UA"/>
              </w:rPr>
              <w:t> 748,0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110 086 380,0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39 897 290,0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40" w:type="dxa"/>
            <w:shd w:val="clear" w:color="auto" w:fill="auto"/>
          </w:tcPr>
          <w:p w:rsidR="00DA0465" w:rsidRPr="00BD73B9" w:rsidRDefault="00DD3122" w:rsidP="002A126C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2A126C"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lang w:val="uk-UA"/>
              </w:rPr>
              <w:t> </w:t>
            </w:r>
            <w:r w:rsidR="002A126C">
              <w:rPr>
                <w:sz w:val="26"/>
                <w:szCs w:val="26"/>
                <w:lang w:val="uk-UA"/>
              </w:rPr>
              <w:t>263</w:t>
            </w:r>
            <w:r>
              <w:rPr>
                <w:sz w:val="26"/>
                <w:szCs w:val="26"/>
                <w:lang w:val="uk-UA"/>
              </w:rPr>
              <w:t> 418,0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</w:tr>
      <w:tr w:rsidR="00DA0465" w:rsidRPr="00DA0465" w:rsidTr="00DB2D43">
        <w:tc>
          <w:tcPr>
            <w:tcW w:w="2619" w:type="dxa"/>
            <w:shd w:val="clear" w:color="auto" w:fill="auto"/>
          </w:tcPr>
          <w:p w:rsidR="00DA0465" w:rsidRPr="00863743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інші джерела (кредитні кошти, гранти</w:t>
            </w:r>
            <w:r w:rsidR="00863743">
              <w:rPr>
                <w:sz w:val="28"/>
                <w:szCs w:val="28"/>
                <w:lang w:val="uk-UA"/>
              </w:rPr>
              <w:t>, кошти державного бюджету</w:t>
            </w:r>
            <w:r w:rsidRPr="00BD73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145 936 420,0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48 221 854,0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DA0465" w:rsidRPr="00BD73B9" w:rsidRDefault="00DD3122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194 158 274,0</w:t>
            </w:r>
            <w:r w:rsidR="00782839">
              <w:rPr>
                <w:sz w:val="26"/>
                <w:szCs w:val="26"/>
                <w:lang w:val="uk-UA"/>
              </w:rPr>
              <w:t>0</w:t>
            </w:r>
          </w:p>
        </w:tc>
      </w:tr>
    </w:tbl>
    <w:p w:rsidR="00DA0465" w:rsidRDefault="00DA0465" w:rsidP="00DA0465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E631B0" w:rsidRPr="00DA0465" w:rsidRDefault="00E631B0" w:rsidP="00DA0465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DA0465" w:rsidRPr="00DA0465" w:rsidRDefault="00DA0465" w:rsidP="00DA0465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DA0465">
        <w:rPr>
          <w:rFonts w:eastAsia="Calibri"/>
          <w:b/>
          <w:color w:val="000000"/>
          <w:sz w:val="28"/>
          <w:szCs w:val="28"/>
          <w:lang w:val="uk-UA"/>
        </w:rPr>
        <w:t>2. Визначення проблем, на розвиток яких спрямована Програма</w:t>
      </w:r>
    </w:p>
    <w:p w:rsidR="00DA0465" w:rsidRPr="00DA0465" w:rsidRDefault="00DA0465" w:rsidP="00DA0465">
      <w:pPr>
        <w:jc w:val="both"/>
        <w:rPr>
          <w:rFonts w:eastAsia="Calibri"/>
          <w:b/>
          <w:color w:val="000000"/>
          <w:sz w:val="16"/>
          <w:szCs w:val="28"/>
          <w:lang w:val="uk-UA"/>
        </w:rPr>
      </w:pPr>
    </w:p>
    <w:p w:rsidR="00DA0465" w:rsidRPr="00DA0465" w:rsidRDefault="00930C42" w:rsidP="00963A5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93227">
        <w:rPr>
          <w:rFonts w:eastAsia="Calibri"/>
          <w:color w:val="000000"/>
          <w:sz w:val="28"/>
          <w:szCs w:val="28"/>
          <w:lang w:val="uk-UA"/>
        </w:rPr>
        <w:t>Однією з актуальних проблем залишається в</w:t>
      </w:r>
      <w:r w:rsidR="00DA0465" w:rsidRPr="00193227">
        <w:rPr>
          <w:rFonts w:eastAsia="Calibri"/>
          <w:color w:val="000000"/>
          <w:sz w:val="28"/>
          <w:szCs w:val="28"/>
          <w:lang w:val="uk-UA"/>
        </w:rPr>
        <w:t xml:space="preserve">исокий рівень енергоспоживання та необхідність підвищення енергоефективності в будівлях бюджетної сфери. </w:t>
      </w:r>
      <w:r w:rsidR="00AD4A6E" w:rsidRPr="00193227">
        <w:rPr>
          <w:rFonts w:eastAsia="Calibri"/>
          <w:color w:val="000000"/>
          <w:sz w:val="28"/>
          <w:szCs w:val="28"/>
          <w:lang w:val="uk-UA"/>
        </w:rPr>
        <w:t xml:space="preserve">Середнє споживання теплової енергії в бюджетних установах Сумської міської територіальної громади складає 140 кВт*год на квадратний метр, в той же час у європейських країнах цей показник складає </w:t>
      </w:r>
      <w:r w:rsidR="00AD4A6E" w:rsidRPr="00193227">
        <w:rPr>
          <w:rFonts w:eastAsia="Calibri"/>
          <w:color w:val="000000"/>
          <w:sz w:val="28"/>
          <w:szCs w:val="28"/>
          <w:lang w:val="uk-UA"/>
        </w:rPr>
        <w:br/>
        <w:t xml:space="preserve">від 50 до 80 кВт*год на квадратний метр. Технічний стан будівель, наявної інженерної інфраструктури є одними із основних чинників низьких значень параметрів мікроклімату, температурного режиму у будівлях та значних перевитрат енергоресурсів. </w:t>
      </w:r>
      <w:r w:rsidRPr="00193227">
        <w:rPr>
          <w:rFonts w:eastAsia="Calibri"/>
          <w:color w:val="000000"/>
          <w:sz w:val="28"/>
          <w:szCs w:val="28"/>
          <w:lang w:val="uk-UA"/>
        </w:rPr>
        <w:t>Постійне зростання вартості енергоресурсів</w:t>
      </w:r>
      <w:r w:rsidR="00DA0465" w:rsidRPr="00193227">
        <w:rPr>
          <w:rFonts w:eastAsia="Calibri"/>
          <w:color w:val="000000"/>
          <w:sz w:val="28"/>
          <w:szCs w:val="28"/>
          <w:lang w:val="uk-UA"/>
        </w:rPr>
        <w:t xml:space="preserve"> та відсутність фінансових можливостей здійснити комплексну енергоефективну модернізацію всіх будівель, що утримуються за кошти Сумської міської територіальної громади, є основними причинами значних видатків на споживання енергоресурсів. </w:t>
      </w:r>
    </w:p>
    <w:p w:rsidR="00DA0465" w:rsidRPr="0096266C" w:rsidRDefault="00DA0465" w:rsidP="00DA0465">
      <w:pPr>
        <w:jc w:val="both"/>
        <w:rPr>
          <w:rFonts w:eastAsia="Calibri"/>
          <w:color w:val="000000"/>
          <w:lang w:val="uk-UA"/>
        </w:rPr>
      </w:pPr>
    </w:p>
    <w:p w:rsidR="00DA0465" w:rsidRPr="00DA0465" w:rsidRDefault="00B70623" w:rsidP="00AD4A6E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AA72025">
            <wp:extent cx="5962650" cy="406942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36" cy="407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465" w:rsidRPr="0096266C" w:rsidRDefault="00DA0465" w:rsidP="00DA0465">
      <w:pPr>
        <w:ind w:firstLine="720"/>
        <w:jc w:val="both"/>
        <w:rPr>
          <w:rFonts w:eastAsia="Calibri"/>
          <w:color w:val="000000"/>
          <w:lang w:val="uk-UA"/>
        </w:rPr>
      </w:pPr>
    </w:p>
    <w:p w:rsidR="00DA0465" w:rsidRPr="00193227" w:rsidRDefault="00DA0465" w:rsidP="00DA0465">
      <w:pPr>
        <w:rPr>
          <w:rFonts w:eastAsia="Calibri"/>
          <w:color w:val="000000"/>
          <w:sz w:val="26"/>
          <w:szCs w:val="26"/>
          <w:lang w:val="uk-UA"/>
        </w:rPr>
      </w:pPr>
      <w:r w:rsidRPr="00193227">
        <w:rPr>
          <w:rFonts w:eastAsia="Calibri"/>
          <w:color w:val="000000"/>
          <w:sz w:val="26"/>
          <w:szCs w:val="26"/>
          <w:lang w:val="uk-UA"/>
        </w:rPr>
        <w:t>Рис. 2.1 Витрати на споживання енергоресурсів та води  у бюджетній сфері, грн.</w:t>
      </w:r>
    </w:p>
    <w:p w:rsidR="00DA0465" w:rsidRPr="00193227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A0465" w:rsidRPr="00193227" w:rsidRDefault="00DA0465" w:rsidP="002153A3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193227">
        <w:rPr>
          <w:rFonts w:eastAsia="Calibri"/>
          <w:color w:val="000000"/>
          <w:sz w:val="28"/>
          <w:szCs w:val="28"/>
          <w:lang w:val="uk-UA"/>
        </w:rPr>
        <w:t>Зважаючи на те, що останнім часом нові об’єкти бюджетної сфери в експлуатацію майже не вводяться, основні резерви енерго</w:t>
      </w:r>
      <w:r w:rsidR="002153A3">
        <w:rPr>
          <w:rFonts w:eastAsia="Calibri"/>
          <w:color w:val="000000"/>
          <w:sz w:val="28"/>
          <w:szCs w:val="28"/>
          <w:lang w:val="uk-UA"/>
        </w:rPr>
        <w:t>ефективності</w:t>
      </w:r>
      <w:r w:rsidRPr="00193227">
        <w:rPr>
          <w:rFonts w:eastAsia="Calibri"/>
          <w:color w:val="000000"/>
          <w:sz w:val="28"/>
          <w:szCs w:val="28"/>
          <w:lang w:val="uk-UA"/>
        </w:rPr>
        <w:t xml:space="preserve"> знаходяться у сфері вдосконалення енергоспоживання будівель, що побудовані раніше. Враховуючи, що переважна більшість будівель бюджетної сфери міста побудована у 70-90х роках минулого століття, реалізація проектів із підвищення їх енергоефективності, пов’язана з необхідністю проведення попередніх капітальних ремонтів/реконструкцій, виконання заходів</w:t>
      </w:r>
      <w:r w:rsidR="00782839">
        <w:rPr>
          <w:rFonts w:eastAsia="Calibri"/>
          <w:color w:val="000000"/>
          <w:sz w:val="28"/>
          <w:szCs w:val="28"/>
          <w:lang w:val="uk-UA"/>
        </w:rPr>
        <w:t>,</w:t>
      </w:r>
      <w:r w:rsidRPr="00193227">
        <w:rPr>
          <w:rFonts w:eastAsia="Calibri"/>
          <w:color w:val="000000"/>
          <w:sz w:val="28"/>
          <w:szCs w:val="28"/>
          <w:lang w:val="uk-UA"/>
        </w:rPr>
        <w:t xml:space="preserve"> не пов’язаних </w:t>
      </w:r>
      <w:r w:rsidRPr="00193227">
        <w:rPr>
          <w:rFonts w:eastAsia="Calibri"/>
          <w:color w:val="000000"/>
          <w:sz w:val="28"/>
          <w:szCs w:val="28"/>
          <w:lang w:val="uk-UA"/>
        </w:rPr>
        <w:br/>
      </w:r>
      <w:r w:rsidR="00963A50" w:rsidRPr="00193227">
        <w:rPr>
          <w:rFonts w:eastAsia="Calibri"/>
          <w:color w:val="000000"/>
          <w:sz w:val="28"/>
          <w:szCs w:val="28"/>
          <w:lang w:val="uk-UA"/>
        </w:rPr>
        <w:t xml:space="preserve">з енергоефективністю (облаштування пандусів, блискавкозахисту, санітарних кімнат та інших пристосувань для </w:t>
      </w:r>
      <w:proofErr w:type="spellStart"/>
      <w:r w:rsidR="00963A50" w:rsidRPr="00193227">
        <w:rPr>
          <w:rFonts w:eastAsia="Calibri"/>
          <w:color w:val="000000"/>
          <w:sz w:val="28"/>
          <w:szCs w:val="28"/>
          <w:lang w:val="uk-UA"/>
        </w:rPr>
        <w:t>маломобільних</w:t>
      </w:r>
      <w:proofErr w:type="spellEnd"/>
      <w:r w:rsidR="00963A50" w:rsidRPr="00193227">
        <w:rPr>
          <w:rFonts w:eastAsia="Calibri"/>
          <w:color w:val="000000"/>
          <w:sz w:val="28"/>
          <w:szCs w:val="28"/>
          <w:lang w:val="uk-UA"/>
        </w:rPr>
        <w:t xml:space="preserve"> груп населення).</w:t>
      </w:r>
    </w:p>
    <w:p w:rsidR="00DA0465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93227">
        <w:rPr>
          <w:rFonts w:eastAsia="Calibri"/>
          <w:color w:val="000000"/>
          <w:sz w:val="28"/>
          <w:szCs w:val="28"/>
          <w:lang w:val="uk-UA"/>
        </w:rPr>
        <w:t xml:space="preserve">Такі </w:t>
      </w:r>
      <w:proofErr w:type="spellStart"/>
      <w:r w:rsidRPr="00193227">
        <w:rPr>
          <w:rFonts w:eastAsia="Calibri"/>
          <w:color w:val="000000"/>
          <w:sz w:val="28"/>
          <w:szCs w:val="28"/>
          <w:lang w:val="uk-UA"/>
        </w:rPr>
        <w:t>про</w:t>
      </w:r>
      <w:r w:rsidR="002153A3">
        <w:rPr>
          <w:rFonts w:eastAsia="Calibri"/>
          <w:color w:val="000000"/>
          <w:sz w:val="28"/>
          <w:szCs w:val="28"/>
          <w:lang w:val="uk-UA"/>
        </w:rPr>
        <w:t>є</w:t>
      </w:r>
      <w:r w:rsidRPr="00193227">
        <w:rPr>
          <w:rFonts w:eastAsia="Calibri"/>
          <w:color w:val="000000"/>
          <w:sz w:val="28"/>
          <w:szCs w:val="28"/>
          <w:lang w:val="uk-UA"/>
        </w:rPr>
        <w:t>кти</w:t>
      </w:r>
      <w:proofErr w:type="spellEnd"/>
      <w:r w:rsidRPr="00193227">
        <w:rPr>
          <w:rFonts w:eastAsia="Calibri"/>
          <w:color w:val="000000"/>
          <w:sz w:val="28"/>
          <w:szCs w:val="28"/>
          <w:lang w:val="uk-UA"/>
        </w:rPr>
        <w:t xml:space="preserve"> є високовартісними для бюджету Сумської міської 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сфери, створення комфортних умов для навчання дітей, покращення якості послуг з освіти, охорони здоров’я, культури.</w:t>
      </w:r>
    </w:p>
    <w:p w:rsidR="00DA0465" w:rsidRPr="00193227" w:rsidRDefault="00DA0465" w:rsidP="00DA0465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>Підвищення енергоефективності будівель повинно здійснюватися відповідно до чинних законодавчих, нормативних актів, правил та стандартів:</w:t>
      </w:r>
    </w:p>
    <w:p w:rsidR="00DA0465" w:rsidRPr="00193227" w:rsidRDefault="00DA0465" w:rsidP="00DA0465">
      <w:pPr>
        <w:contextualSpacing/>
        <w:jc w:val="both"/>
        <w:rPr>
          <w:color w:val="000000"/>
          <w:sz w:val="16"/>
          <w:szCs w:val="28"/>
          <w:lang w:val="uk-UA"/>
        </w:rPr>
      </w:pP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Зако</w:t>
      </w:r>
      <w:r w:rsidR="00217977">
        <w:rPr>
          <w:sz w:val="28"/>
          <w:szCs w:val="28"/>
          <w:lang w:val="uk-UA"/>
        </w:rPr>
        <w:t>ну України «Про енергоефективність</w:t>
      </w:r>
      <w:r w:rsidRPr="00193227">
        <w:rPr>
          <w:sz w:val="28"/>
          <w:szCs w:val="28"/>
          <w:lang w:val="uk-UA"/>
        </w:rPr>
        <w:t>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Закону України «Про енергетичну ефективність будівель».</w:t>
      </w:r>
    </w:p>
    <w:p w:rsidR="00D25940" w:rsidRPr="00193227" w:rsidRDefault="00454E5D" w:rsidP="00454E5D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ISO 50001:2018 «Системи енергетичного менеджменту. Вимоги та настанови щодо застосування».</w:t>
      </w:r>
    </w:p>
    <w:p w:rsidR="00E60F5E" w:rsidRPr="00193227" w:rsidRDefault="00E60F5E" w:rsidP="00E60F5E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 EN 14351-1:2020 Вікна та двері. Вимоги. Частина 1. Вікна та зовнішні двері (EN 14351-1:2006 + A2:2016, IDT)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 4065-2001 «Енергозбереження. Енергетичний аудит. Загальні технічні вимоги (ANSI/IEEE 739-1995, NEQ)».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В.2.5-67:2013 «Опалення, вентиляція та кондиціонування».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В.2.2-4:2018 «Будинки і споруди. Заклади дошкільної освіти».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ДБН В.2.2-10:2017 «Будинки і споруди. Заклади охорони </w:t>
      </w:r>
      <w:proofErr w:type="spellStart"/>
      <w:r w:rsidRPr="00193227">
        <w:rPr>
          <w:sz w:val="28"/>
          <w:szCs w:val="28"/>
          <w:lang w:val="uk-UA"/>
        </w:rPr>
        <w:t>здоров</w:t>
      </w:r>
      <w:proofErr w:type="spellEnd"/>
      <w:r w:rsidRPr="00193227">
        <w:rPr>
          <w:sz w:val="28"/>
          <w:szCs w:val="28"/>
        </w:rPr>
        <w:t>`</w:t>
      </w:r>
      <w:r w:rsidRPr="00193227">
        <w:rPr>
          <w:sz w:val="28"/>
          <w:szCs w:val="28"/>
          <w:lang w:val="uk-UA"/>
        </w:rPr>
        <w:t>я».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 2.6-31:2016 «Конструкції будинків і споруд. Теплова ізоляція будівель».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ДСТУ-Н Б В .1.1 -27:2010 «Будівельна кліматологія».</w:t>
      </w:r>
    </w:p>
    <w:p w:rsidR="00DA0465" w:rsidRPr="00193227" w:rsidRDefault="00DD4A0C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 </w:t>
      </w:r>
      <w:r w:rsidR="00DA0465" w:rsidRPr="00193227">
        <w:rPr>
          <w:sz w:val="28"/>
          <w:szCs w:val="28"/>
          <w:lang w:val="uk-UA"/>
        </w:rPr>
        <w:t xml:space="preserve">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244–94. </w:t>
      </w:r>
    </w:p>
    <w:p w:rsidR="001C2446" w:rsidRPr="00193227" w:rsidRDefault="001C2446" w:rsidP="001C2446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В.2.5-28:2018 «Природне і штучне освітлення».</w:t>
      </w:r>
    </w:p>
    <w:p w:rsidR="001C2446" w:rsidRPr="00193227" w:rsidRDefault="001C2446" w:rsidP="001C2446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Наказу Міністерства охорони здоров`я України від 24.03.2016 № 234 «Про затвердження Санітарного регламенту для дошкільних навчальних закладів».</w:t>
      </w:r>
    </w:p>
    <w:p w:rsidR="001C2446" w:rsidRPr="00193227" w:rsidRDefault="00F55709" w:rsidP="001C2446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Наказу Міністерства охорони здоров`я України від 25.09.2020 №2205 </w:t>
      </w:r>
      <w:r w:rsidRPr="00193227">
        <w:rPr>
          <w:sz w:val="28"/>
          <w:szCs w:val="28"/>
          <w:lang w:val="uk-UA"/>
        </w:rPr>
        <w:br/>
        <w:t xml:space="preserve">«Про затвердження </w:t>
      </w:r>
      <w:hyperlink r:id="rId9" w:anchor="n15" w:history="1">
        <w:r w:rsidRPr="0019322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Санітарного регламенту для закладів загальної середньої о</w:t>
        </w:r>
      </w:hyperlink>
      <w:r w:rsidRPr="00193227">
        <w:rPr>
          <w:sz w:val="28"/>
          <w:szCs w:val="28"/>
          <w:shd w:val="clear" w:color="auto" w:fill="FFFFFF"/>
          <w:lang w:val="uk-UA"/>
        </w:rPr>
        <w:t>світи».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Плану дій сталого енергетичного розвитку міста Суми </w:t>
      </w:r>
      <w:r w:rsidRPr="00193227">
        <w:rPr>
          <w:sz w:val="28"/>
          <w:szCs w:val="28"/>
          <w:lang w:val="uk-UA"/>
        </w:rPr>
        <w:br/>
        <w:t>на 2016-2025 роки, нову редакцію затверджено рішенням Сумської міської ради від 26 вересня 2018 року № 3909-МР.</w:t>
      </w:r>
    </w:p>
    <w:p w:rsidR="00737158" w:rsidRPr="00193227" w:rsidRDefault="00DA0465" w:rsidP="00A83481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DA0465" w:rsidRDefault="00DA0465" w:rsidP="00DA0465">
      <w:pPr>
        <w:contextualSpacing/>
        <w:jc w:val="both"/>
        <w:rPr>
          <w:sz w:val="16"/>
          <w:szCs w:val="16"/>
          <w:lang w:val="uk-UA"/>
        </w:rPr>
      </w:pPr>
    </w:p>
    <w:p w:rsidR="00E631B0" w:rsidRDefault="00E631B0" w:rsidP="00DA0465">
      <w:pPr>
        <w:contextualSpacing/>
        <w:jc w:val="both"/>
        <w:rPr>
          <w:sz w:val="16"/>
          <w:szCs w:val="16"/>
          <w:lang w:val="uk-UA"/>
        </w:rPr>
      </w:pPr>
    </w:p>
    <w:p w:rsidR="00E631B0" w:rsidRPr="00193227" w:rsidRDefault="00E631B0" w:rsidP="00DA0465">
      <w:pPr>
        <w:contextualSpacing/>
        <w:jc w:val="both"/>
        <w:rPr>
          <w:sz w:val="16"/>
          <w:szCs w:val="16"/>
          <w:lang w:val="uk-UA"/>
        </w:rPr>
      </w:pPr>
    </w:p>
    <w:p w:rsidR="00DD4A0C" w:rsidRPr="00193227" w:rsidRDefault="00DD4A0C" w:rsidP="00DA0465">
      <w:pPr>
        <w:contextualSpacing/>
        <w:jc w:val="both"/>
        <w:rPr>
          <w:sz w:val="16"/>
          <w:szCs w:val="16"/>
          <w:lang w:val="uk-UA"/>
        </w:rPr>
      </w:pPr>
    </w:p>
    <w:p w:rsidR="00DA0465" w:rsidRPr="00193227" w:rsidRDefault="00DA0465" w:rsidP="00DA0465">
      <w:pPr>
        <w:ind w:firstLine="435"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>Чинні стандарти та правила встановлюють такі вимоги до технічних характеристик будівель:</w:t>
      </w:r>
    </w:p>
    <w:p w:rsidR="00DA0465" w:rsidRPr="00193227" w:rsidRDefault="00DA0465" w:rsidP="00DA0465">
      <w:pPr>
        <w:jc w:val="center"/>
        <w:rPr>
          <w:color w:val="000000"/>
          <w:sz w:val="28"/>
          <w:szCs w:val="28"/>
          <w:lang w:val="uk-UA"/>
        </w:rPr>
      </w:pP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93227">
        <w:rPr>
          <w:color w:val="000000"/>
          <w:sz w:val="28"/>
          <w:szCs w:val="28"/>
          <w:lang w:val="uk-UA"/>
        </w:rPr>
        <w:t>≥ 3,3 м</w:t>
      </w:r>
      <w:r w:rsidRPr="00193227">
        <w:rPr>
          <w:color w:val="000000"/>
          <w:sz w:val="28"/>
          <w:szCs w:val="28"/>
          <w:vertAlign w:val="superscript"/>
          <w:lang w:val="uk-UA"/>
        </w:rPr>
        <w:t>2</w:t>
      </w:r>
      <w:r w:rsidRPr="00193227">
        <w:rPr>
          <w:color w:val="000000"/>
          <w:sz w:val="28"/>
          <w:szCs w:val="28"/>
        </w:rPr>
        <w:t>·</w:t>
      </w:r>
      <w:r w:rsidRPr="00193227">
        <w:rPr>
          <w:color w:val="000000"/>
          <w:sz w:val="28"/>
          <w:szCs w:val="28"/>
          <w:lang w:val="uk-UA"/>
        </w:rPr>
        <w:t>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вікон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0,75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вхідних</w:t>
      </w:r>
      <w:proofErr w:type="spellEnd"/>
      <w:r w:rsidRPr="00193227">
        <w:rPr>
          <w:color w:val="000000"/>
          <w:sz w:val="28"/>
          <w:szCs w:val="28"/>
        </w:rPr>
        <w:t xml:space="preserve"> дверей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0,</w:t>
      </w:r>
      <w:r w:rsidRPr="00193227">
        <w:rPr>
          <w:color w:val="000000"/>
          <w:sz w:val="28"/>
          <w:szCs w:val="28"/>
          <w:lang w:val="uk-UA"/>
        </w:rPr>
        <w:t>6</w:t>
      </w:r>
      <w:r w:rsidRPr="00193227">
        <w:rPr>
          <w:color w:val="000000"/>
          <w:sz w:val="28"/>
          <w:szCs w:val="28"/>
        </w:rPr>
        <w:t xml:space="preserve">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перекриття</w:t>
      </w:r>
      <w:proofErr w:type="spellEnd"/>
      <w:r w:rsidRPr="00193227">
        <w:rPr>
          <w:color w:val="000000"/>
          <w:sz w:val="28"/>
          <w:szCs w:val="28"/>
        </w:rPr>
        <w:t xml:space="preserve"> над </w:t>
      </w:r>
      <w:proofErr w:type="spellStart"/>
      <w:r w:rsidR="00DD4A0C" w:rsidRPr="00193227">
        <w:rPr>
          <w:color w:val="000000"/>
          <w:sz w:val="28"/>
          <w:szCs w:val="28"/>
        </w:rPr>
        <w:t>неопалюваним</w:t>
      </w:r>
      <w:proofErr w:type="spellEnd"/>
      <w:r w:rsidR="00DD4A0C" w:rsidRPr="00193227">
        <w:rPr>
          <w:color w:val="000000"/>
          <w:sz w:val="28"/>
          <w:szCs w:val="28"/>
        </w:rPr>
        <w:t xml:space="preserve"> </w:t>
      </w:r>
      <w:proofErr w:type="spellStart"/>
      <w:r w:rsidR="00DD4A0C" w:rsidRPr="00193227">
        <w:rPr>
          <w:color w:val="000000"/>
          <w:sz w:val="28"/>
          <w:szCs w:val="28"/>
        </w:rPr>
        <w:t>підвалом</w:t>
      </w:r>
      <w:proofErr w:type="spellEnd"/>
      <w:r w:rsidR="00DD4A0C"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3,75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суміщенного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покриття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br/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 xml:space="preserve">≥ </w:t>
      </w:r>
      <w:r w:rsidRPr="00193227">
        <w:rPr>
          <w:color w:val="000000"/>
          <w:sz w:val="28"/>
          <w:szCs w:val="28"/>
          <w:lang w:val="uk-UA"/>
        </w:rPr>
        <w:t>6</w:t>
      </w:r>
      <w:r w:rsidR="00DD4A0C" w:rsidRPr="00193227">
        <w:rPr>
          <w:color w:val="000000"/>
          <w:sz w:val="28"/>
          <w:szCs w:val="28"/>
          <w:lang w:val="uk-UA"/>
        </w:rPr>
        <w:t>,0</w:t>
      </w:r>
      <w:r w:rsidRPr="00193227">
        <w:rPr>
          <w:color w:val="000000"/>
          <w:sz w:val="28"/>
          <w:szCs w:val="28"/>
        </w:rPr>
        <w:t xml:space="preserve">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горищного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покриття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br/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4,95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r w:rsidRPr="00193227">
        <w:rPr>
          <w:color w:val="000000"/>
          <w:sz w:val="28"/>
          <w:szCs w:val="28"/>
        </w:rPr>
        <w:t xml:space="preserve">У </w:t>
      </w:r>
      <w:proofErr w:type="spellStart"/>
      <w:r w:rsidRPr="00193227">
        <w:rPr>
          <w:color w:val="000000"/>
          <w:sz w:val="28"/>
          <w:szCs w:val="28"/>
        </w:rPr>
        <w:t>разі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реконструкції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будинків</w:t>
      </w:r>
      <w:proofErr w:type="spellEnd"/>
      <w:r w:rsidRPr="00193227">
        <w:rPr>
          <w:color w:val="000000"/>
          <w:sz w:val="28"/>
          <w:szCs w:val="28"/>
        </w:rPr>
        <w:t xml:space="preserve">, </w:t>
      </w:r>
      <w:proofErr w:type="spellStart"/>
      <w:r w:rsidRPr="00193227">
        <w:rPr>
          <w:color w:val="000000"/>
          <w:sz w:val="28"/>
          <w:szCs w:val="28"/>
        </w:rPr>
        <w:t>що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виконується</w:t>
      </w:r>
      <w:proofErr w:type="spellEnd"/>
      <w:r w:rsidRPr="00193227">
        <w:rPr>
          <w:color w:val="000000"/>
          <w:sz w:val="28"/>
          <w:szCs w:val="28"/>
        </w:rPr>
        <w:t xml:space="preserve"> з метою </w:t>
      </w:r>
      <w:proofErr w:type="spellStart"/>
      <w:r w:rsidRPr="00193227">
        <w:rPr>
          <w:color w:val="000000"/>
          <w:sz w:val="28"/>
          <w:szCs w:val="28"/>
        </w:rPr>
        <w:t>їх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термомодернізації</w:t>
      </w:r>
      <w:proofErr w:type="spellEnd"/>
      <w:r w:rsidRPr="00193227">
        <w:rPr>
          <w:color w:val="000000"/>
          <w:sz w:val="28"/>
          <w:szCs w:val="28"/>
        </w:rPr>
        <w:t xml:space="preserve">, </w:t>
      </w:r>
      <w:proofErr w:type="spellStart"/>
      <w:r w:rsidRPr="00193227">
        <w:rPr>
          <w:color w:val="000000"/>
          <w:sz w:val="28"/>
          <w:szCs w:val="28"/>
        </w:rPr>
        <w:t>допускається</w:t>
      </w:r>
      <w:proofErr w:type="spellEnd"/>
      <w:r w:rsidRPr="00193227">
        <w:rPr>
          <w:color w:val="000000"/>
          <w:sz w:val="28"/>
          <w:szCs w:val="28"/>
        </w:rPr>
        <w:t xml:space="preserve"> для </w:t>
      </w:r>
      <w:proofErr w:type="spellStart"/>
      <w:r w:rsidRPr="00193227">
        <w:rPr>
          <w:color w:val="000000"/>
          <w:sz w:val="28"/>
          <w:szCs w:val="28"/>
        </w:rPr>
        <w:t>непрозорих</w:t>
      </w:r>
      <w:proofErr w:type="spellEnd"/>
      <w:r w:rsidRPr="001932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огороджувальних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конструкцій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приймати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значення</w:t>
      </w:r>
      <w:proofErr w:type="spellEnd"/>
      <w:r w:rsidRPr="00193227">
        <w:rPr>
          <w:color w:val="000000"/>
          <w:sz w:val="28"/>
          <w:szCs w:val="28"/>
        </w:rPr>
        <w:t xml:space="preserve"> R q </w:t>
      </w:r>
      <w:proofErr w:type="spellStart"/>
      <w:r w:rsidRPr="00193227">
        <w:rPr>
          <w:color w:val="000000"/>
          <w:sz w:val="28"/>
          <w:szCs w:val="28"/>
        </w:rPr>
        <w:t>min</w:t>
      </w:r>
      <w:proofErr w:type="spellEnd"/>
      <w:r w:rsidRPr="00193227">
        <w:rPr>
          <w:color w:val="000000"/>
          <w:sz w:val="28"/>
          <w:szCs w:val="28"/>
        </w:rPr>
        <w:t xml:space="preserve"> з </w:t>
      </w:r>
      <w:proofErr w:type="spellStart"/>
      <w:r w:rsidRPr="00193227">
        <w:rPr>
          <w:color w:val="000000"/>
          <w:sz w:val="28"/>
          <w:szCs w:val="28"/>
        </w:rPr>
        <w:t>коефіцієнтом</w:t>
      </w:r>
      <w:proofErr w:type="spellEnd"/>
      <w:r w:rsidRPr="00193227">
        <w:rPr>
          <w:color w:val="000000"/>
          <w:sz w:val="28"/>
          <w:szCs w:val="28"/>
        </w:rPr>
        <w:t xml:space="preserve"> 0,8.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 xml:space="preserve">Відповідно до санітарно-гігієнічних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</w:t>
      </w:r>
      <w:r w:rsidRPr="00193227">
        <w:rPr>
          <w:color w:val="000000"/>
          <w:sz w:val="28"/>
          <w:szCs w:val="28"/>
          <w:vertAlign w:val="superscript"/>
          <w:lang w:val="uk-UA"/>
        </w:rPr>
        <w:t>0</w:t>
      </w:r>
      <w:r w:rsidRPr="00193227">
        <w:rPr>
          <w:color w:val="000000"/>
          <w:sz w:val="28"/>
          <w:szCs w:val="28"/>
          <w:lang w:val="uk-UA"/>
        </w:rPr>
        <w:t xml:space="preserve">С, покриття та перекриття горищ 3 </w:t>
      </w:r>
      <w:r w:rsidRPr="00193227">
        <w:rPr>
          <w:color w:val="000000"/>
          <w:sz w:val="28"/>
          <w:szCs w:val="28"/>
          <w:vertAlign w:val="superscript"/>
          <w:lang w:val="uk-UA"/>
        </w:rPr>
        <w:t>0</w:t>
      </w:r>
      <w:r w:rsidRPr="00193227">
        <w:rPr>
          <w:color w:val="000000"/>
          <w:sz w:val="28"/>
          <w:szCs w:val="28"/>
          <w:lang w:val="uk-UA"/>
        </w:rPr>
        <w:t xml:space="preserve">С, перекриття над підвалом 2 </w:t>
      </w:r>
      <w:r w:rsidRPr="00193227">
        <w:rPr>
          <w:color w:val="000000"/>
          <w:sz w:val="28"/>
          <w:szCs w:val="28"/>
          <w:vertAlign w:val="superscript"/>
          <w:lang w:val="uk-UA"/>
        </w:rPr>
        <w:t>0</w:t>
      </w:r>
      <w:r w:rsidRPr="00193227">
        <w:rPr>
          <w:color w:val="000000"/>
          <w:sz w:val="28"/>
          <w:szCs w:val="28"/>
          <w:lang w:val="uk-UA"/>
        </w:rPr>
        <w:t>С.</w:t>
      </w:r>
    </w:p>
    <w:p w:rsidR="00DA0465" w:rsidRPr="00193227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A0465" w:rsidRPr="00193227" w:rsidRDefault="00DA0465" w:rsidP="00DA0465">
      <w:pPr>
        <w:ind w:firstLine="708"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DA0465" w:rsidRPr="00193227" w:rsidRDefault="00DA0465" w:rsidP="00DA0465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725"/>
      </w:tblGrid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>Витрати</w:t>
            </w:r>
          </w:p>
        </w:tc>
      </w:tr>
      <w:tr w:rsidR="00DA0465" w:rsidRPr="00193227" w:rsidTr="00DB2D43">
        <w:tc>
          <w:tcPr>
            <w:tcW w:w="9734" w:type="dxa"/>
            <w:gridSpan w:val="2"/>
          </w:tcPr>
          <w:p w:rsidR="00DA0465" w:rsidRPr="00193227" w:rsidRDefault="00DA0465" w:rsidP="00DA04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DA0465" w:rsidRPr="00193227" w:rsidTr="0096266C">
        <w:tc>
          <w:tcPr>
            <w:tcW w:w="5009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Впровадження програмних заходів з підвищення енергоефективності</w:t>
            </w:r>
          </w:p>
        </w:tc>
      </w:tr>
      <w:tr w:rsidR="00DA0465" w:rsidRPr="00193227" w:rsidTr="0096266C">
        <w:tc>
          <w:tcPr>
            <w:tcW w:w="5009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  <w:p w:rsidR="00DA0465" w:rsidRPr="00193227" w:rsidRDefault="00DA0465" w:rsidP="00DA0465">
            <w:pPr>
              <w:jc w:val="both"/>
              <w:rPr>
                <w:lang w:val="uk-UA"/>
              </w:rPr>
            </w:pPr>
          </w:p>
          <w:p w:rsidR="00737158" w:rsidRPr="00193227" w:rsidRDefault="00737158" w:rsidP="00DA0465">
            <w:pPr>
              <w:jc w:val="both"/>
              <w:rPr>
                <w:lang w:val="uk-UA"/>
              </w:rPr>
            </w:pPr>
          </w:p>
        </w:tc>
      </w:tr>
      <w:tr w:rsidR="00DA0465" w:rsidRPr="00193227" w:rsidTr="0096266C">
        <w:tc>
          <w:tcPr>
            <w:tcW w:w="9734" w:type="dxa"/>
            <w:gridSpan w:val="2"/>
            <w:tcBorders>
              <w:top w:val="single" w:sz="4" w:space="0" w:color="auto"/>
            </w:tcBorders>
          </w:tcPr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>Сфера інтересів суб’єктів господарювання/бюджетних установ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Витрати на впровадження заходів                                       з енергозбереження та підвищення енергоефективності будівель бюджетних установ 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Удосконалення діяльності у сфері управління енергоресурсами відповідно до </w:t>
            </w:r>
            <w:r w:rsidRPr="00193227">
              <w:rPr>
                <w:lang w:val="en-US"/>
              </w:rPr>
              <w:t>ISO</w:t>
            </w:r>
            <w:r w:rsidRPr="00193227">
              <w:t xml:space="preserve"> 50001</w:t>
            </w:r>
            <w:r w:rsidRPr="00193227">
              <w:rPr>
                <w:lang w:val="uk-UA"/>
              </w:rPr>
              <w:t xml:space="preserve">:2018 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Дотримання санітарно-гігієнічних норм в будівлях установ бюджетної сфери 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  <w:p w:rsidR="00DA0465" w:rsidRPr="00193227" w:rsidRDefault="00DA0465" w:rsidP="00DA0465">
            <w:pPr>
              <w:jc w:val="both"/>
              <w:rPr>
                <w:lang w:val="uk-UA"/>
              </w:rPr>
            </w:pP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center"/>
              <w:rPr>
                <w:b/>
                <w:lang w:val="uk-UA"/>
              </w:rPr>
            </w:pPr>
            <w:r w:rsidRPr="00193227">
              <w:rPr>
                <w:b/>
                <w:lang w:val="uk-UA"/>
              </w:rPr>
              <w:t>Вигоди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center"/>
              <w:rPr>
                <w:b/>
                <w:lang w:val="uk-UA"/>
              </w:rPr>
            </w:pPr>
            <w:r w:rsidRPr="00193227">
              <w:rPr>
                <w:b/>
                <w:lang w:val="uk-UA"/>
              </w:rPr>
              <w:t>Витрати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Відсутні</w:t>
            </w:r>
          </w:p>
        </w:tc>
      </w:tr>
      <w:tr w:rsidR="00DA0465" w:rsidRPr="00DA0465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Відсутні</w:t>
            </w:r>
          </w:p>
        </w:tc>
      </w:tr>
    </w:tbl>
    <w:p w:rsidR="00DA0465" w:rsidRPr="00DA0465" w:rsidRDefault="00DA0465" w:rsidP="00DA0465">
      <w:pPr>
        <w:contextualSpacing/>
        <w:jc w:val="both"/>
        <w:rPr>
          <w:b/>
          <w:sz w:val="18"/>
          <w:szCs w:val="26"/>
          <w:lang w:val="uk-UA"/>
        </w:rPr>
      </w:pPr>
    </w:p>
    <w:p w:rsidR="00DA0465" w:rsidRPr="00DA0465" w:rsidRDefault="00DA0465" w:rsidP="00DA0465">
      <w:pPr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>3. Напрями діяльності, завдання та заходи Програми</w:t>
      </w:r>
    </w:p>
    <w:p w:rsidR="00DA0465" w:rsidRPr="00DA0465" w:rsidRDefault="00DA0465" w:rsidP="00DA0465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DA0465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 w:rsidRPr="00DA0465">
        <w:rPr>
          <w:color w:val="000000"/>
          <w:sz w:val="28"/>
          <w:szCs w:val="28"/>
          <w:lang w:val="uk-UA"/>
        </w:rPr>
        <w:br/>
        <w:t>у додатках 2, 3.</w:t>
      </w:r>
    </w:p>
    <w:p w:rsidR="00DA0465" w:rsidRPr="00DA0465" w:rsidRDefault="00DA0465" w:rsidP="00DA0465">
      <w:pPr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 xml:space="preserve">4. Результативні показники виконання завдань Програми </w:t>
      </w:r>
    </w:p>
    <w:p w:rsidR="00DA0465" w:rsidRPr="00DA0465" w:rsidRDefault="00DA0465" w:rsidP="00DA0465">
      <w:pPr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DA0465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 w:rsidRPr="00DA0465">
        <w:rPr>
          <w:color w:val="000000"/>
          <w:sz w:val="28"/>
          <w:szCs w:val="28"/>
          <w:lang w:val="uk-UA"/>
        </w:rPr>
        <w:br/>
        <w:t>у додатку 4.</w:t>
      </w:r>
    </w:p>
    <w:p w:rsidR="00DA0465" w:rsidRPr="00DA0465" w:rsidRDefault="00DA0465" w:rsidP="00DA0465">
      <w:pPr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>5. Очікувані результати</w:t>
      </w:r>
    </w:p>
    <w:p w:rsidR="00DA0465" w:rsidRPr="00DA0465" w:rsidRDefault="00DA0465" w:rsidP="00DA0465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DA0465">
        <w:rPr>
          <w:color w:val="000000"/>
          <w:sz w:val="28"/>
          <w:szCs w:val="28"/>
          <w:lang w:val="uk-UA"/>
        </w:rPr>
        <w:t>Очікувані результати від реалізації Програми викладені у додатку 5 до Програми.</w:t>
      </w:r>
    </w:p>
    <w:p w:rsidR="00DA0465" w:rsidRPr="00DA0465" w:rsidRDefault="00DA0465" w:rsidP="00DA0465">
      <w:pPr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>6. Організація виконання, моніторингу та контролю за ходом виконання Програми</w:t>
      </w:r>
    </w:p>
    <w:p w:rsidR="002153A3" w:rsidRPr="002153A3" w:rsidRDefault="002153A3" w:rsidP="002153A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2153A3">
        <w:rPr>
          <w:color w:val="000000"/>
          <w:sz w:val="28"/>
          <w:szCs w:val="28"/>
          <w:lang w:val="uk-UA"/>
        </w:rPr>
        <w:t>оніторинг та контроль за ходом виконання заходів Програми здійснює Департамент фінансів, економіки та інвестицій Сумської міської ради. Контроль за цільовим та ефективним використанням коштів здійснюється головним</w:t>
      </w:r>
      <w:r w:rsidR="00782839">
        <w:rPr>
          <w:color w:val="000000"/>
          <w:sz w:val="28"/>
          <w:szCs w:val="28"/>
          <w:lang w:val="uk-UA"/>
        </w:rPr>
        <w:t>и розпорядниками</w:t>
      </w:r>
      <w:r w:rsidRPr="002153A3">
        <w:rPr>
          <w:color w:val="000000"/>
          <w:sz w:val="28"/>
          <w:szCs w:val="28"/>
          <w:lang w:val="uk-UA"/>
        </w:rPr>
        <w:t xml:space="preserve"> бюджетних коштів.</w:t>
      </w:r>
    </w:p>
    <w:p w:rsidR="002153A3" w:rsidRPr="002153A3" w:rsidRDefault="002153A3" w:rsidP="002153A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153A3">
        <w:rPr>
          <w:color w:val="000000"/>
          <w:sz w:val="28"/>
          <w:szCs w:val="28"/>
          <w:lang w:val="uk-UA"/>
        </w:rPr>
        <w:t>Відповідальні виконавці Програми здійснюють обґрунтовану оцінку результатів виконання Програми та у разі необхідності розробляють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виконавців, строків виконання заходів.</w:t>
      </w:r>
    </w:p>
    <w:p w:rsidR="002153A3" w:rsidRPr="002153A3" w:rsidRDefault="002153A3" w:rsidP="002153A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153A3">
        <w:rPr>
          <w:color w:val="000000"/>
          <w:sz w:val="28"/>
          <w:szCs w:val="28"/>
          <w:lang w:val="uk-UA"/>
        </w:rPr>
        <w:t>Щороку Департамент фінансів, економіки та інвестицій Сумської міської ради звітує про виконання Програми Сумській міській раді та відповідно до пропозицій головних розпорядників бюджетних коштів вносить зміни з уточненими показниками і заходами, які погоджуються та затв</w:t>
      </w:r>
      <w:r w:rsidR="00782839">
        <w:rPr>
          <w:color w:val="000000"/>
          <w:sz w:val="28"/>
          <w:szCs w:val="28"/>
          <w:lang w:val="uk-UA"/>
        </w:rPr>
        <w:t>ерджуються відповідно до чинного</w:t>
      </w:r>
      <w:r w:rsidRPr="002153A3">
        <w:rPr>
          <w:color w:val="000000"/>
          <w:sz w:val="28"/>
          <w:szCs w:val="28"/>
          <w:lang w:val="uk-UA"/>
        </w:rPr>
        <w:t xml:space="preserve"> законодавства</w:t>
      </w:r>
      <w:r w:rsidR="00782839">
        <w:rPr>
          <w:color w:val="000000"/>
          <w:sz w:val="28"/>
          <w:szCs w:val="28"/>
          <w:lang w:val="uk-UA"/>
        </w:rPr>
        <w:t xml:space="preserve"> України</w:t>
      </w:r>
      <w:bookmarkStart w:id="0" w:name="_GoBack"/>
      <w:bookmarkEnd w:id="0"/>
      <w:r w:rsidRPr="002153A3">
        <w:rPr>
          <w:color w:val="000000"/>
          <w:sz w:val="28"/>
          <w:szCs w:val="28"/>
          <w:lang w:val="uk-UA"/>
        </w:rPr>
        <w:t>.</w:t>
      </w:r>
    </w:p>
    <w:p w:rsidR="00DA0465" w:rsidRPr="00DA0465" w:rsidRDefault="00DA0465" w:rsidP="00DA046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2C3D37" w:rsidP="00DA0465">
      <w:pPr>
        <w:ind w:right="-2"/>
        <w:jc w:val="both"/>
        <w:rPr>
          <w:sz w:val="28"/>
          <w:szCs w:val="28"/>
          <w:lang w:val="uk-UA"/>
        </w:rPr>
      </w:pPr>
      <w:r w:rsidRPr="00DA0465"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193227">
        <w:rPr>
          <w:sz w:val="28"/>
          <w:szCs w:val="28"/>
          <w:lang w:val="uk-UA"/>
        </w:rPr>
        <w:t>Олександр ЛИСЕНКО</w:t>
      </w:r>
    </w:p>
    <w:p w:rsidR="00DA0465" w:rsidRPr="00DA0465" w:rsidRDefault="00DA0465" w:rsidP="00DA0465">
      <w:pPr>
        <w:ind w:right="-2"/>
        <w:jc w:val="both"/>
        <w:rPr>
          <w:sz w:val="28"/>
          <w:szCs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szCs w:val="28"/>
          <w:lang w:val="uk-UA"/>
        </w:rPr>
      </w:pPr>
    </w:p>
    <w:p w:rsidR="00DA0465" w:rsidRDefault="00DA0465" w:rsidP="00DA0465">
      <w:pPr>
        <w:ind w:right="-2"/>
        <w:jc w:val="both"/>
        <w:rPr>
          <w:lang w:val="uk-UA"/>
        </w:rPr>
      </w:pPr>
      <w:r w:rsidRPr="00DA0465">
        <w:rPr>
          <w:lang w:val="uk-UA"/>
        </w:rPr>
        <w:t xml:space="preserve">Виконавець: </w:t>
      </w:r>
      <w:proofErr w:type="spellStart"/>
      <w:r w:rsidR="00E610F3">
        <w:rPr>
          <w:lang w:val="uk-UA"/>
        </w:rPr>
        <w:t>Співакова</w:t>
      </w:r>
      <w:proofErr w:type="spellEnd"/>
      <w:r w:rsidR="00E610F3">
        <w:rPr>
          <w:lang w:val="uk-UA"/>
        </w:rPr>
        <w:t xml:space="preserve"> Л.І.</w:t>
      </w:r>
    </w:p>
    <w:sectPr w:rsidR="00DA0465" w:rsidSect="00F067C6">
      <w:headerReference w:type="default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Default="00DA04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Default="00DA04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2FF6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0E48CA"/>
    <w:rsid w:val="000E4CE9"/>
    <w:rsid w:val="0010002B"/>
    <w:rsid w:val="0010099D"/>
    <w:rsid w:val="001057F8"/>
    <w:rsid w:val="0010663F"/>
    <w:rsid w:val="001113EC"/>
    <w:rsid w:val="0011524C"/>
    <w:rsid w:val="001223CC"/>
    <w:rsid w:val="0012375C"/>
    <w:rsid w:val="00134227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93227"/>
    <w:rsid w:val="001A558F"/>
    <w:rsid w:val="001C2446"/>
    <w:rsid w:val="001D5621"/>
    <w:rsid w:val="001D5788"/>
    <w:rsid w:val="001D58FB"/>
    <w:rsid w:val="001D6EE4"/>
    <w:rsid w:val="001F4F8D"/>
    <w:rsid w:val="001F6036"/>
    <w:rsid w:val="00211E76"/>
    <w:rsid w:val="00214184"/>
    <w:rsid w:val="002153A3"/>
    <w:rsid w:val="002157E4"/>
    <w:rsid w:val="00217977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5BC0"/>
    <w:rsid w:val="002860C0"/>
    <w:rsid w:val="002A04FB"/>
    <w:rsid w:val="002A126C"/>
    <w:rsid w:val="002A3442"/>
    <w:rsid w:val="002A5073"/>
    <w:rsid w:val="002A5323"/>
    <w:rsid w:val="002A5B4F"/>
    <w:rsid w:val="002A5FA9"/>
    <w:rsid w:val="002B36AC"/>
    <w:rsid w:val="002B3767"/>
    <w:rsid w:val="002C09B1"/>
    <w:rsid w:val="002C0C7F"/>
    <w:rsid w:val="002C14DB"/>
    <w:rsid w:val="002C1BBE"/>
    <w:rsid w:val="002C3D37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15C8"/>
    <w:rsid w:val="00355296"/>
    <w:rsid w:val="00362FCD"/>
    <w:rsid w:val="00383EFD"/>
    <w:rsid w:val="003901E6"/>
    <w:rsid w:val="00393630"/>
    <w:rsid w:val="003B20B0"/>
    <w:rsid w:val="003C0E4F"/>
    <w:rsid w:val="003C15EB"/>
    <w:rsid w:val="003C66F9"/>
    <w:rsid w:val="003C6FAA"/>
    <w:rsid w:val="003D43BB"/>
    <w:rsid w:val="003D4C7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54E5D"/>
    <w:rsid w:val="00466E4A"/>
    <w:rsid w:val="004677DB"/>
    <w:rsid w:val="004820BE"/>
    <w:rsid w:val="00484D69"/>
    <w:rsid w:val="004905FF"/>
    <w:rsid w:val="00490AA2"/>
    <w:rsid w:val="004940F1"/>
    <w:rsid w:val="00494288"/>
    <w:rsid w:val="004943A1"/>
    <w:rsid w:val="00495558"/>
    <w:rsid w:val="004959E3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07E8B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A7C27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2F58"/>
    <w:rsid w:val="006533DA"/>
    <w:rsid w:val="006546E8"/>
    <w:rsid w:val="006605BF"/>
    <w:rsid w:val="00672A78"/>
    <w:rsid w:val="006A374B"/>
    <w:rsid w:val="006A70D2"/>
    <w:rsid w:val="006B02E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37158"/>
    <w:rsid w:val="00742F8A"/>
    <w:rsid w:val="007530DE"/>
    <w:rsid w:val="00754210"/>
    <w:rsid w:val="00757180"/>
    <w:rsid w:val="007649B0"/>
    <w:rsid w:val="007749A3"/>
    <w:rsid w:val="0077571D"/>
    <w:rsid w:val="00782839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D3288"/>
    <w:rsid w:val="007E29D2"/>
    <w:rsid w:val="007E37ED"/>
    <w:rsid w:val="007E6B4F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63743"/>
    <w:rsid w:val="00870281"/>
    <w:rsid w:val="00871C25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0C42"/>
    <w:rsid w:val="00932EBA"/>
    <w:rsid w:val="0094538E"/>
    <w:rsid w:val="00946A75"/>
    <w:rsid w:val="009511BF"/>
    <w:rsid w:val="0095309F"/>
    <w:rsid w:val="00954E67"/>
    <w:rsid w:val="009609D1"/>
    <w:rsid w:val="0096266C"/>
    <w:rsid w:val="00963A50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0C73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3631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4A6E"/>
    <w:rsid w:val="00AD694B"/>
    <w:rsid w:val="00AE56EB"/>
    <w:rsid w:val="00AF00B7"/>
    <w:rsid w:val="00AF6477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70623"/>
    <w:rsid w:val="00B83BB2"/>
    <w:rsid w:val="00B90EB8"/>
    <w:rsid w:val="00B9599B"/>
    <w:rsid w:val="00B96C03"/>
    <w:rsid w:val="00BA1786"/>
    <w:rsid w:val="00BA2CAE"/>
    <w:rsid w:val="00BA2D4E"/>
    <w:rsid w:val="00BA53A6"/>
    <w:rsid w:val="00BB71D1"/>
    <w:rsid w:val="00BC2258"/>
    <w:rsid w:val="00BD3235"/>
    <w:rsid w:val="00BD6223"/>
    <w:rsid w:val="00BD73B9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1B5E"/>
    <w:rsid w:val="00D1582F"/>
    <w:rsid w:val="00D175A7"/>
    <w:rsid w:val="00D24198"/>
    <w:rsid w:val="00D25940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0465"/>
    <w:rsid w:val="00DA769B"/>
    <w:rsid w:val="00DB2B7F"/>
    <w:rsid w:val="00DD3122"/>
    <w:rsid w:val="00DD4A0C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0F5E"/>
    <w:rsid w:val="00E610F3"/>
    <w:rsid w:val="00E631B0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5709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E7486"/>
    <w:rsid w:val="00FF2F7F"/>
    <w:rsid w:val="00FF538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EFB84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z1111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16D2-969E-41FB-8FCC-B99A4D1A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1416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Данильченко Олена Вікторівна</cp:lastModifiedBy>
  <cp:revision>33</cp:revision>
  <cp:lastPrinted>2022-01-27T08:59:00Z</cp:lastPrinted>
  <dcterms:created xsi:type="dcterms:W3CDTF">2020-08-14T10:05:00Z</dcterms:created>
  <dcterms:modified xsi:type="dcterms:W3CDTF">2022-01-27T09:00:00Z</dcterms:modified>
</cp:coreProperties>
</file>