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7" w:type="dxa"/>
        <w:tblInd w:w="3969" w:type="dxa"/>
        <w:tblLook w:val="00A0" w:firstRow="1" w:lastRow="0" w:firstColumn="1" w:lastColumn="0" w:noHBand="0" w:noVBand="0"/>
      </w:tblPr>
      <w:tblGrid>
        <w:gridCol w:w="5387"/>
      </w:tblGrid>
      <w:tr w:rsidR="009E0084" w:rsidRPr="008F05A8" w:rsidTr="00BC7ED1">
        <w:tc>
          <w:tcPr>
            <w:tcW w:w="5387" w:type="dxa"/>
          </w:tcPr>
          <w:p w:rsidR="009E0084" w:rsidRPr="007B2DD1" w:rsidRDefault="009E0084" w:rsidP="009E0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B2D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Додаток 1 </w:t>
            </w:r>
          </w:p>
          <w:p w:rsidR="00BC7ED1" w:rsidRPr="007B2DD1" w:rsidRDefault="008E5BF0" w:rsidP="007C6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BC7ED1" w:rsidRPr="007B2D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 рішення Сумської міської ради</w:t>
            </w:r>
          </w:p>
          <w:p w:rsidR="00BC7ED1" w:rsidRPr="008F05A8" w:rsidRDefault="00BC7ED1" w:rsidP="00BC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2D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«Про внесення змін до </w:t>
            </w:r>
            <w:r w:rsidRPr="007B2D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Програми відшкодування різниці між тарифами, встановленими в економічно обґрунтованому розмірі на опалювальний період 2021/2022 років, та такими, </w:t>
            </w:r>
            <w:r w:rsidRPr="007B2DD1">
              <w:rPr>
                <w:rFonts w:ascii="Times New Roman" w:eastAsia="Calibri" w:hAnsi="Times New Roman" w:cs="Times New Roman"/>
                <w:sz w:val="28"/>
                <w:szCs w:val="28"/>
                <w:lang w:val="uk-UA" w:eastAsia="uk-UA" w:bidi="uk-UA"/>
              </w:rPr>
              <w:t>які фактично застосовувалися</w:t>
            </w:r>
            <w:r w:rsidRPr="008F05A8">
              <w:rPr>
                <w:rFonts w:ascii="Times New Roman" w:eastAsia="Calibri" w:hAnsi="Times New Roman" w:cs="Times New Roman"/>
                <w:sz w:val="28"/>
                <w:szCs w:val="28"/>
                <w:lang w:val="uk-UA" w:eastAsia="uk-UA" w:bidi="uk-UA"/>
              </w:rPr>
              <w:t xml:space="preserve"> в опалювальному</w:t>
            </w:r>
            <w:r w:rsidRPr="008F05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періоді 2021/2022 років на послуги з постачання теплової енергії та постачання гарячої води по </w:t>
            </w:r>
            <w:r w:rsidRPr="008F05A8">
              <w:rPr>
                <w:rFonts w:ascii="Times New Roman" w:eastAsia="Calibri" w:hAnsi="Times New Roman" w:cs="Times New Roman"/>
                <w:sz w:val="28"/>
                <w:szCs w:val="28"/>
                <w:lang w:val="uk-UA" w:eastAsia="uk-UA" w:bidi="uk-UA"/>
              </w:rPr>
              <w:t xml:space="preserve">категорії споживачів «населення» </w:t>
            </w:r>
            <w:r w:rsidRPr="008F05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Pr="008F05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8F0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затвердженої рішенням Сумської міської ради </w:t>
            </w:r>
            <w:r w:rsidRPr="008F05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26 січня 2022 року № 2712-МР»</w:t>
            </w:r>
          </w:p>
          <w:p w:rsidR="00BC7ED1" w:rsidRPr="008F05A8" w:rsidRDefault="00BC7ED1" w:rsidP="00BC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05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E76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 лютого</w:t>
            </w:r>
            <w:r w:rsidRPr="008F05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2022 року № </w:t>
            </w:r>
            <w:r w:rsidR="00E769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2729 </w:t>
            </w:r>
            <w:r w:rsidRPr="008F05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МР</w:t>
            </w:r>
          </w:p>
          <w:p w:rsidR="009E0084" w:rsidRPr="008F05A8" w:rsidRDefault="009E0084" w:rsidP="00BC7E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E0084" w:rsidRPr="008F05A8" w:rsidRDefault="009E0084" w:rsidP="009E008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val="uk-UA" w:eastAsia="ru-RU"/>
        </w:rPr>
      </w:pPr>
      <w:r w:rsidRPr="008F05A8">
        <w:rPr>
          <w:rFonts w:ascii="Times New Roman" w:eastAsia="Calibri" w:hAnsi="Times New Roman" w:cs="Times New Roman"/>
          <w:caps/>
          <w:sz w:val="28"/>
          <w:szCs w:val="28"/>
          <w:lang w:val="uk-UA" w:eastAsia="ru-RU"/>
        </w:rPr>
        <w:t>Порядок</w:t>
      </w:r>
    </w:p>
    <w:p w:rsidR="00BC7ED1" w:rsidRPr="008F05A8" w:rsidRDefault="009E0084" w:rsidP="009E008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відшкодування різниці між тарифами, встановленими в економічно обґрунтованому розмірі на опалювальний період 2021/2022 років, та такими, </w:t>
      </w:r>
      <w:r w:rsidRPr="008F05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які фактично застосовувалися в опалювальному</w:t>
      </w:r>
      <w:r w:rsidRPr="008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періоді 2021/2022 років на послуги з постачання теплової енергії та постачання гарячої води по </w:t>
      </w:r>
      <w:r w:rsidRPr="008F05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категорії споживачів «населення» </w:t>
      </w:r>
      <w:r w:rsidRPr="008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території Сумської міської територіальної</w:t>
      </w:r>
    </w:p>
    <w:p w:rsidR="009E0084" w:rsidRPr="008F05A8" w:rsidRDefault="009E0084" w:rsidP="009E008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громади</w:t>
      </w:r>
    </w:p>
    <w:p w:rsidR="009E0084" w:rsidRPr="008F05A8" w:rsidRDefault="009E0084" w:rsidP="009E0084">
      <w:pPr>
        <w:tabs>
          <w:tab w:val="center" w:pos="4153"/>
          <w:tab w:val="right" w:pos="8306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F05A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1. Цей Порядок визначає механізм відшкодування </w:t>
      </w:r>
      <w:r w:rsidRPr="008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різниці відшкодування між встановленими економічно обґрунтованими тарифами на послуги підприємствам: </w:t>
      </w:r>
      <w:r w:rsidRPr="008F05A8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>ТОВ «Котельня північного промислового вузла», ТОВ «</w:t>
      </w:r>
      <w:proofErr w:type="spellStart"/>
      <w:r w:rsidRPr="008F05A8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>Сумитеплоенерго</w:t>
      </w:r>
      <w:proofErr w:type="spellEnd"/>
      <w:r w:rsidRPr="008F05A8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>», Комунальному підприємству «Міськводоканал» Сумської міської ради,</w:t>
      </w:r>
      <w:r w:rsidRPr="008F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 </w:t>
      </w:r>
      <w:r w:rsidRPr="008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«Сумська паляниця» та </w:t>
      </w:r>
      <w:r w:rsidRPr="008F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Сумському національному аграрному університету (надалі – суб’єкти господарювання) </w:t>
      </w:r>
      <w:r w:rsidRPr="008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постачання теплової енергії та постачання гарячої води по </w:t>
      </w:r>
      <w:r w:rsidRPr="008F05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категорії споживачів «населення»</w:t>
      </w:r>
      <w:r w:rsidRPr="008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встановленими на опалювальний період 2021/2022 років та такими, </w:t>
      </w:r>
      <w:r w:rsidRPr="008F05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які фактично застосовувалися в </w:t>
      </w:r>
      <w:r w:rsidRPr="008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опалювальному періоду 2021/2022років на території Сумської міської територіальної громади (далі – Порядок, різниця </w:t>
      </w:r>
      <w:r w:rsidR="007D285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між</w:t>
      </w:r>
      <w:r w:rsidRPr="008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тарифа</w:t>
      </w:r>
      <w:r w:rsidR="007D285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ми</w:t>
      </w:r>
      <w:r w:rsidRPr="008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).</w:t>
      </w:r>
    </w:p>
    <w:p w:rsidR="009E0084" w:rsidRPr="008F05A8" w:rsidRDefault="009E0084" w:rsidP="009E0084">
      <w:pPr>
        <w:tabs>
          <w:tab w:val="center" w:pos="4153"/>
          <w:tab w:val="right" w:pos="8306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8F05A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2.</w:t>
      </w:r>
      <w:r w:rsidRPr="008F05A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Видатки на відшкодування різниці </w:t>
      </w:r>
      <w:r w:rsidR="006165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між</w:t>
      </w:r>
      <w:r w:rsidRPr="008F05A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тарифа</w:t>
      </w:r>
      <w:r w:rsidR="006165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ми</w:t>
      </w:r>
      <w:r w:rsidRPr="008F05A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здійснюються за рахунок коштів бюджету Сумської міської територіальної громади на відповідний рік. </w:t>
      </w:r>
    </w:p>
    <w:p w:rsidR="009E0084" w:rsidRPr="008F05A8" w:rsidRDefault="009E0084" w:rsidP="009E00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F05A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3. С</w:t>
      </w:r>
      <w:r w:rsidRPr="008F05A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уб’єкти господарювання, що провадять господарську діяльність з постачання теплової енергії та постачання гарячої води </w:t>
      </w:r>
      <w:r w:rsidRPr="008F05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споживачам категорії «населення» на території Сумської міської територіальної громади, </w:t>
      </w:r>
      <w:r w:rsidRPr="008F05A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до 15 числа місяця, наступного за звітним місяцем, надають головному розпоряднику бюджетних коштів – Департаменту інфраструктури міста Сумської міської ради розрахунки різниці </w:t>
      </w:r>
      <w:r w:rsidR="007D28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між</w:t>
      </w:r>
      <w:r w:rsidRPr="008F05A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тарифа</w:t>
      </w:r>
      <w:r w:rsidR="007D28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ми</w:t>
      </w:r>
      <w:r w:rsidRPr="008F05A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згідно із додатком 1.1 до цього Порядку</w:t>
      </w:r>
      <w:r w:rsidRPr="008F05A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9E0084" w:rsidRPr="008F05A8" w:rsidRDefault="009E0084" w:rsidP="009E00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8F05A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До розрахунку також додаються підтверджувальні документи:</w:t>
      </w:r>
    </w:p>
    <w:p w:rsidR="009E0084" w:rsidRPr="008F05A8" w:rsidRDefault="009E0084" w:rsidP="009E00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8F05A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3.1. Відомість фактичних обсягів споживання населенням теплової енергії за формою у Додатку 1.2;</w:t>
      </w:r>
    </w:p>
    <w:p w:rsidR="009E0084" w:rsidRPr="008F05A8" w:rsidRDefault="009E0084" w:rsidP="009E00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8F05A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lastRenderedPageBreak/>
        <w:t>3.2. Відомість фактичних обсягів споживання населенням за гарячу воду за формою у Додатку 1.3.</w:t>
      </w:r>
    </w:p>
    <w:p w:rsidR="009E0084" w:rsidRPr="007B2DD1" w:rsidRDefault="009E0084" w:rsidP="009E0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05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3.3. Інформацію щодо розрахунків підприємства за енергоносії (природний газ, вугілля, електроенергія), воду, а також за послуги з розподілу і транспортування енергоносіїв, та стану кредиторської заборгованості підприємства на останню звітну </w:t>
      </w:r>
      <w:r w:rsidRPr="007B2DD1">
        <w:rPr>
          <w:rFonts w:ascii="Times New Roman" w:eastAsia="Calibri" w:hAnsi="Times New Roman" w:cs="Times New Roman"/>
          <w:sz w:val="28"/>
          <w:szCs w:val="28"/>
          <w:lang w:val="uk-UA"/>
        </w:rPr>
        <w:t>дату</w:t>
      </w:r>
      <w:r w:rsidR="003E2F3C" w:rsidRPr="007B2D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разом з підтвердними документами (платіжними дорученнями, актами звірки, тощо</w:t>
      </w:r>
      <w:r w:rsidR="008F2661" w:rsidRPr="007B2DD1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3E2F3C" w:rsidRPr="007B2DD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E0084" w:rsidRPr="007B2DD1" w:rsidRDefault="009E0084" w:rsidP="009E00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2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3.4. </w:t>
      </w:r>
      <w:r w:rsidRPr="007B2DD1">
        <w:rPr>
          <w:rFonts w:ascii="Times New Roman" w:eastAsia="Calibri" w:hAnsi="Times New Roman" w:cs="Times New Roman"/>
          <w:sz w:val="28"/>
          <w:szCs w:val="28"/>
          <w:lang w:val="uk-UA"/>
        </w:rPr>
        <w:t>Завірені в установленому порядку копії фінансової і статистичної звітності суб’єкта господарювання за останній звітний період, а також відповідну аналітичну інформацію щодо результатів діяльності підприємства з виробництва, транспортування та постачання теплової енергії, надання послуг з постачання теплової енергії та гарячої води;</w:t>
      </w:r>
    </w:p>
    <w:p w:rsidR="009E0084" w:rsidRPr="008F05A8" w:rsidRDefault="009E0084" w:rsidP="009E0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2D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3.5. </w:t>
      </w:r>
      <w:r w:rsidRPr="007B2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Іншу додаткову інформацію, необхідну для обґрунтування</w:t>
      </w:r>
      <w:r w:rsidRPr="008F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різниці </w:t>
      </w:r>
      <w:r w:rsidR="008356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</w:t>
      </w:r>
      <w:r w:rsidRPr="008F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тарифа</w:t>
      </w:r>
      <w:r w:rsidR="008356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</w:t>
      </w:r>
      <w:r w:rsidRPr="008F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(у разі додаткового запиту та/або за ініціативою суб’єкта господарювання).</w:t>
      </w:r>
    </w:p>
    <w:p w:rsidR="009E0084" w:rsidRPr="008F05A8" w:rsidRDefault="009E0084" w:rsidP="009E00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 засвідчуються підписом керівника або іншої уповноваженої особи суб’єкти  та скріплюються печаткою (за наявності).</w:t>
      </w:r>
    </w:p>
    <w:p w:rsidR="009E0084" w:rsidRPr="007B2DD1" w:rsidRDefault="009E0084" w:rsidP="009E00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7B2D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Розрахунок обсягу різниці </w:t>
      </w:r>
      <w:r w:rsidR="0061659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між</w:t>
      </w:r>
      <w:r w:rsidRPr="007B2D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тарифа</w:t>
      </w:r>
      <w:r w:rsidR="0061659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ми</w:t>
      </w:r>
      <w:r w:rsidRPr="007B2D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здійснюється </w:t>
      </w:r>
      <w:r w:rsidR="00E7696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бе</w:t>
      </w:r>
      <w:r w:rsidR="003E2F3C" w:rsidRPr="007B2D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Pr="007B2D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урахування</w:t>
      </w:r>
      <w:r w:rsidR="003E2F3C" w:rsidRPr="007B2D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Pr="007B2D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податку на додану вартість</w:t>
      </w:r>
      <w:r w:rsidRPr="007B2D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E2F3C" w:rsidRPr="007B2D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</w:t>
      </w:r>
      <w:r w:rsidRPr="007B2DD1">
        <w:rPr>
          <w:rFonts w:ascii="Times New Roman" w:eastAsia="Calibri" w:hAnsi="Times New Roman" w:cs="Times New Roman"/>
          <w:sz w:val="28"/>
          <w:szCs w:val="28"/>
          <w:lang w:val="uk-UA"/>
        </w:rPr>
        <w:t>перерахунків за ненадання або неналежне надання послуг з постачання теплової енергії та гарячої води</w:t>
      </w:r>
      <w:r w:rsidRPr="007B2D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6D491D" w:rsidRDefault="006D491D" w:rsidP="009E008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0084" w:rsidRPr="008F05A8" w:rsidRDefault="009E0084" w:rsidP="009E008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F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Обсяг заборгованості різниці </w:t>
      </w:r>
      <w:r w:rsidR="006165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</w:t>
      </w:r>
      <w:r w:rsidRPr="008F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тарифа</w:t>
      </w:r>
      <w:r w:rsidR="006165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</w:t>
      </w:r>
      <w:r w:rsidRPr="008F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визначається суб’єктами господарювання за звітний місяць як добуток різниці між тарифами, встановленими в економічно обґрунтованому розмірі на опалювальний період 2021/2022 років, та такими, </w:t>
      </w:r>
      <w:r w:rsidRPr="008F05A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які фактично застосовувалися в опалювальному</w:t>
      </w:r>
      <w:r w:rsidRPr="008F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періоді 2021/2022 років на послуги з постачання теплової енергії та постачання гарячої води по </w:t>
      </w:r>
      <w:r w:rsidRPr="008F05A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категорії споживачів «населення» </w:t>
      </w:r>
      <w:r w:rsidRPr="008F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Сумської міської територіальної громади</w:t>
      </w:r>
      <w:r w:rsidRPr="008F05A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, та фактичного обсягу реалізації теплової енергії по категорії споживачів «населення» за звітний місяць, враховуючи перерахунки за низькоякісні та не в повному обсязі надані послуги</w:t>
      </w:r>
      <w:r w:rsidRPr="008F05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4452C8" w:rsidRPr="008F05A8" w:rsidRDefault="004452C8" w:rsidP="004452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05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Загальний фактичний обсяг реалізації теплової енергії по категорії споживачів «населення» за </w:t>
      </w:r>
      <w:r w:rsidRPr="008F05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опалювальний період 2021/2022 років не повинен перевищувати загального планового </w:t>
      </w:r>
      <w:r w:rsidRPr="008F05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обсягу реалізації теплової енергії по категорії споживачів «населення» на </w:t>
      </w:r>
      <w:r w:rsidRPr="008F05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опалювальний період 2021/2022 років, погоджений органом місцевого самоврядування. </w:t>
      </w:r>
    </w:p>
    <w:p w:rsidR="006D491D" w:rsidRDefault="006D491D" w:rsidP="00445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452C8" w:rsidRPr="00F3319E" w:rsidRDefault="004452C8" w:rsidP="00445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05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Департамент інфраструктури міста Сумської міської ради після отримання розрахунків </w:t>
      </w:r>
      <w:r w:rsidRPr="008F05A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суми </w:t>
      </w:r>
      <w:r w:rsidRPr="008F05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відшкодування різниці між тарифами, встановленими в економічно обґрунтованому розмірі на опалювальний період 2021/2022 років, та такими, </w:t>
      </w:r>
      <w:r w:rsidRPr="008F05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які фактично застосовувалися в опалювальному</w:t>
      </w:r>
      <w:r w:rsidRPr="008F05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періоді 2021/2022 років на послуги з постачання теплової енергії та постачання гарячої води по </w:t>
      </w:r>
      <w:r w:rsidRPr="00F3319E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категорії споживачів «населення» </w:t>
      </w:r>
      <w:r w:rsidRPr="00F331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</w:t>
      </w:r>
      <w:r w:rsidR="00E01FB0" w:rsidRPr="00F331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березень-квітень </w:t>
      </w:r>
      <w:r w:rsidRPr="00F331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опалювального періоду 2021/2022 років, звіряє фактичні та планові </w:t>
      </w:r>
      <w:r w:rsidRPr="00F3319E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обсяги реалізації теплової енергії по категорії споживачів «населення» за </w:t>
      </w:r>
      <w:r w:rsidRPr="00F3319E">
        <w:rPr>
          <w:rFonts w:ascii="Times New Roman" w:eastAsia="Calibri" w:hAnsi="Times New Roman" w:cs="Times New Roman"/>
          <w:sz w:val="28"/>
          <w:szCs w:val="28"/>
          <w:lang w:val="uk-UA"/>
        </w:rPr>
        <w:t>опалювальний період 2021/2022.</w:t>
      </w:r>
    </w:p>
    <w:p w:rsidR="004452C8" w:rsidRPr="00F3319E" w:rsidRDefault="004452C8" w:rsidP="00445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1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 разі перевищення загального </w:t>
      </w:r>
      <w:r w:rsidRPr="00F3319E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фактичного обсягу реалізації теплової енергії по категорії споживачів «населення» за </w:t>
      </w:r>
      <w:r w:rsidRPr="00F331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опалювальний період </w:t>
      </w:r>
      <w:r w:rsidRPr="00F3319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2021/2022 років загального планового </w:t>
      </w:r>
      <w:r w:rsidRPr="00F3319E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обсягу реалізації теплової енергії по категорії споживачів «населення» на </w:t>
      </w:r>
      <w:r w:rsidRPr="00F331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опалювальний період 2021/2022 років, </w:t>
      </w:r>
      <w:r w:rsidRPr="00F3319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сума </w:t>
      </w:r>
      <w:r w:rsidRPr="00F331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відшкодування різниці між тарифами, встановленими в економічно обґрунтованому розмірі на опалювальний період 2021/2022 років, та такими, </w:t>
      </w:r>
      <w:r w:rsidRPr="00F3319E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які фактично застосовувалися в опалювальному</w:t>
      </w:r>
      <w:r w:rsidRPr="00F331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періоді 2021/2022 років на послуги з постачання теплової енергії та постачання гарячої води по </w:t>
      </w:r>
      <w:r w:rsidRPr="00F3319E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категорії споживачів «населення» перераховуються  у бік зменшення відповідно до планових показників загального обсягу реалізації теплової енергії по категорії споживачів «населення» на </w:t>
      </w:r>
      <w:r w:rsidRPr="00F3319E">
        <w:rPr>
          <w:rFonts w:ascii="Times New Roman" w:eastAsia="Calibri" w:hAnsi="Times New Roman" w:cs="Times New Roman"/>
          <w:sz w:val="28"/>
          <w:szCs w:val="28"/>
          <w:lang w:val="uk-UA"/>
        </w:rPr>
        <w:t>опалювальний період 2021/2022, погоджений органом місцевого самоврядування.</w:t>
      </w:r>
    </w:p>
    <w:p w:rsidR="004452C8" w:rsidRPr="00F3319E" w:rsidRDefault="004452C8" w:rsidP="00445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F3319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uk-UA"/>
        </w:rPr>
        <w:t> </w:t>
      </w:r>
      <w:r w:rsidRPr="00F3319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Числова інформація в розрахунках </w:t>
      </w:r>
      <w:r w:rsidRPr="00F3319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сум </w:t>
      </w:r>
      <w:r w:rsidRPr="00F331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відшкодування різниці між тарифами, встановленими в економічно обґрунтованому розмірі на опалювальний період 2021/2022 років, та такими, </w:t>
      </w:r>
      <w:r w:rsidRPr="00F3319E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які фактично застосовувалися в опалювальному</w:t>
      </w:r>
      <w:r w:rsidRPr="00F331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періоді 2021/2022 років на послуги з постачання теплової енергії та постачання гарячої води по </w:t>
      </w:r>
      <w:r w:rsidRPr="00F3319E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категорії споживачів «населення» </w:t>
      </w:r>
      <w:r w:rsidRPr="00F331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3319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зазначається з точністю до двох цифр після коми, а якщо ціла частина числа дорівнює нулю - з точністю до двох значущих цифр після коми.</w:t>
      </w:r>
    </w:p>
    <w:p w:rsidR="004452C8" w:rsidRPr="00F3319E" w:rsidRDefault="004452C8" w:rsidP="00445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19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Числова інформація по фактичних та планових </w:t>
      </w:r>
      <w:r w:rsidRPr="00F3319E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обсягах реалізації теплової енергії </w:t>
      </w:r>
      <w:r w:rsidRPr="00F3319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зазначається з точністю до трьох цифр після коми, а якщо ціла частина числа дорівнює нулю - з точністю до трьох значущих цифр після коми.</w:t>
      </w:r>
    </w:p>
    <w:p w:rsidR="009E0084" w:rsidRPr="00F3319E" w:rsidRDefault="009E0084" w:rsidP="009E0084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n21"/>
      <w:bookmarkEnd w:id="1"/>
      <w:r w:rsidRPr="00F331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Сума відшкодування різниці </w:t>
      </w:r>
      <w:r w:rsidR="006165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між</w:t>
      </w:r>
      <w:r w:rsidRPr="00F331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тарифа</w:t>
      </w:r>
      <w:r w:rsidR="006165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ми</w:t>
      </w:r>
      <w:r w:rsidRPr="00F331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F3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може перевищувати суму, необхідну для покриття чистої фінансової різниці між понесеними витратами та отриманими доходами підприємства при виконанні зобов’язання надавати відповідні громадські послуги загального інтересу, з урахуванням доходу, який залишається у підприємства, та розумного рівня прибутку. </w:t>
      </w:r>
    </w:p>
    <w:p w:rsidR="009E0084" w:rsidRPr="00F3319E" w:rsidRDefault="009E0084" w:rsidP="009E0084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F331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Відповідальність за достовірність даних, використаних під час здійснення роз</w:t>
      </w:r>
      <w:r w:rsidR="006165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рахунку обсягів відшкодування </w:t>
      </w:r>
      <w:r w:rsidRPr="00F331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різниці </w:t>
      </w:r>
      <w:r w:rsidR="006165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між</w:t>
      </w:r>
      <w:r w:rsidRPr="00F331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тарифа</w:t>
      </w:r>
      <w:r w:rsidR="006165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ми</w:t>
      </w:r>
      <w:r w:rsidRPr="00F331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несе керівник суб’єкта господарювання.</w:t>
      </w:r>
    </w:p>
    <w:p w:rsidR="009E0084" w:rsidRPr="00F3319E" w:rsidRDefault="004452C8" w:rsidP="009E0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331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Суб’єкти господарювання зобов’язуються використати отримані бюджетні кошти за цільовим призначенням: за енергоносії (природний газ, вугілля, електроенергія), воду, а також послуги з розподілу, транспортування енергоносіїв. Не здійснюється оплата кредиторської заборгованості за спожиті енергоносії, послуги з розподілу, транспортування енергоносіїв, яка утворилася до початку опалювального періоду 2021/2022, штрафів, пені, інфляційних нарахувань, відсотків річних, збитків</w:t>
      </w:r>
      <w:r w:rsidR="009E0084" w:rsidRPr="00F331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E01FB0" w:rsidRPr="00F3319E" w:rsidRDefault="009E0084" w:rsidP="00AE397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3319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4. </w:t>
      </w:r>
      <w:r w:rsidR="00E01FB0" w:rsidRPr="00F3319E">
        <w:rPr>
          <w:rFonts w:ascii="Times New Roman" w:hAnsi="Times New Roman"/>
          <w:sz w:val="28"/>
          <w:szCs w:val="28"/>
          <w:lang w:val="uk-UA"/>
        </w:rPr>
        <w:t xml:space="preserve">Департамент інфраструктури міста Сумської міської ради проводить перевірку повноти наданого пакету документів, а також відповідності розрахунків різниці </w:t>
      </w:r>
      <w:r w:rsidR="0061659F">
        <w:rPr>
          <w:rFonts w:ascii="Times New Roman" w:hAnsi="Times New Roman"/>
          <w:sz w:val="28"/>
          <w:szCs w:val="28"/>
          <w:lang w:val="uk-UA"/>
        </w:rPr>
        <w:t>між</w:t>
      </w:r>
      <w:r w:rsidR="00E01FB0" w:rsidRPr="00F3319E">
        <w:rPr>
          <w:rFonts w:ascii="Times New Roman" w:hAnsi="Times New Roman"/>
          <w:sz w:val="28"/>
          <w:szCs w:val="28"/>
          <w:lang w:val="uk-UA"/>
        </w:rPr>
        <w:t xml:space="preserve"> тарифа</w:t>
      </w:r>
      <w:r w:rsidR="0061659F">
        <w:rPr>
          <w:rFonts w:ascii="Times New Roman" w:hAnsi="Times New Roman"/>
          <w:sz w:val="28"/>
          <w:szCs w:val="28"/>
          <w:lang w:val="uk-UA"/>
        </w:rPr>
        <w:t>ми</w:t>
      </w:r>
      <w:r w:rsidR="00E01FB0" w:rsidRPr="00F3319E">
        <w:rPr>
          <w:rFonts w:ascii="Times New Roman" w:hAnsi="Times New Roman"/>
          <w:sz w:val="28"/>
          <w:szCs w:val="28"/>
          <w:lang w:val="uk-UA"/>
        </w:rPr>
        <w:t xml:space="preserve"> підтвердним документам, Порядку.</w:t>
      </w:r>
    </w:p>
    <w:p w:rsidR="00E01FB0" w:rsidRPr="00E01FB0" w:rsidRDefault="00E01FB0" w:rsidP="00E01FB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1FB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разі виявлення розбіжностей між даними зазначеними в розрахунках відшкодування різниці </w:t>
      </w:r>
      <w:r w:rsidR="0061659F">
        <w:rPr>
          <w:rFonts w:ascii="Times New Roman" w:eastAsia="Calibri" w:hAnsi="Times New Roman" w:cs="Times New Roman"/>
          <w:sz w:val="28"/>
          <w:szCs w:val="28"/>
          <w:lang w:val="uk-UA"/>
        </w:rPr>
        <w:t>між</w:t>
      </w:r>
      <w:r w:rsidRPr="00E01FB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тарифа</w:t>
      </w:r>
      <w:r w:rsidR="0061659F">
        <w:rPr>
          <w:rFonts w:ascii="Times New Roman" w:eastAsia="Calibri" w:hAnsi="Times New Roman" w:cs="Times New Roman"/>
          <w:sz w:val="28"/>
          <w:szCs w:val="28"/>
          <w:lang w:val="uk-UA"/>
        </w:rPr>
        <w:t>ми</w:t>
      </w:r>
      <w:r w:rsidRPr="00E01FB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даними, зазначеними в підтвердних документах, та/ або ненадання підтвердних документів, а також у випадку підтвердження використання бюджетних коштів не за цільовим призначенням визначеного Порядком, Департамент інфраструктури міста Сумської міської ради протягом 5 робочих днів повертає пакет документів на доопрацювання суб’єктам господарювання.</w:t>
      </w:r>
    </w:p>
    <w:p w:rsidR="00E01FB0" w:rsidRPr="00F3319E" w:rsidRDefault="00E01FB0" w:rsidP="00F3319E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19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Після перевірки Департамент інфраструктури міста Сумської міської ради передає розрахунки  різниці </w:t>
      </w:r>
      <w:r w:rsidR="0061659F">
        <w:rPr>
          <w:rFonts w:ascii="Times New Roman" w:eastAsia="Calibri" w:hAnsi="Times New Roman" w:cs="Times New Roman"/>
          <w:sz w:val="28"/>
          <w:szCs w:val="28"/>
          <w:lang w:val="uk-UA"/>
        </w:rPr>
        <w:t>між</w:t>
      </w:r>
      <w:r w:rsidRPr="00F331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тарифа</w:t>
      </w:r>
      <w:r w:rsidR="0061659F">
        <w:rPr>
          <w:rFonts w:ascii="Times New Roman" w:eastAsia="Calibri" w:hAnsi="Times New Roman" w:cs="Times New Roman"/>
          <w:sz w:val="28"/>
          <w:szCs w:val="28"/>
          <w:lang w:val="uk-UA"/>
        </w:rPr>
        <w:t>ми</w:t>
      </w:r>
      <w:r w:rsidRPr="00F331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узгодження Комісії з питань відшкодування</w:t>
      </w:r>
      <w:r w:rsidRPr="00F3319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F3319E">
        <w:rPr>
          <w:rFonts w:ascii="Times New Roman" w:eastAsia="Calibri" w:hAnsi="Times New Roman" w:cs="Times New Roman"/>
          <w:sz w:val="28"/>
          <w:szCs w:val="28"/>
          <w:lang w:val="uk-UA"/>
        </w:rPr>
        <w:t>різниці між тарифами, встановленими в економічно обґрунтованому розмірі на опалювальний період 2021/2022 років, та такими, які фактично застосовувалися в опалювальному періоді 2021/2022 років на послуги з постачання теплової енергії та постачання гарячої води по категорії споживачів «населення» на території Сумської міської територіальної громади.</w:t>
      </w:r>
    </w:p>
    <w:p w:rsidR="009E0084" w:rsidRPr="008F05A8" w:rsidRDefault="009E0084" w:rsidP="00F3319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9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5. Комісією з питань відшкодування різниці між тарифами, встановленими в економічно обґрунтованому розмірі на опалювальний період 2021/2022 років, та такими, які фактично застосовувались в опалювальному періоді 2021/2022 років на послуги з постачання теплової енергії та постачання гарячої води по категорії споживачів «населення» на території Сумської міської територіальної громади</w:t>
      </w:r>
      <w:r w:rsidRPr="00F3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– Комісія) </w:t>
      </w:r>
      <w:r w:rsidR="00ED1F2F" w:rsidRPr="00F331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складається відповідний протокол </w:t>
      </w:r>
      <w:r w:rsidR="00ED1F2F" w:rsidRPr="00F3319E">
        <w:rPr>
          <w:rFonts w:ascii="Times New Roman" w:eastAsia="Calibri" w:hAnsi="Times New Roman" w:cs="Times New Roman"/>
          <w:sz w:val="28"/>
          <w:szCs w:val="28"/>
          <w:lang w:val="uk-UA"/>
        </w:rPr>
        <w:t>щодо узгодження різниці між тарифами, встановленими в економічно обґрунтованому розмірі на опалювальний період 2021/2022 років, та такими, які фактично застосовувалися в опалювальному періоді 2021/2022 років на послуги з постачання теплової енергії та постачання гарячої води по категорії споживачів «населення» на території Сумської міської територіальної громади</w:t>
      </w:r>
      <w:r w:rsidR="00705BED" w:rsidRPr="00F3319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E0084" w:rsidRPr="008F05A8" w:rsidRDefault="009E0084" w:rsidP="00F331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Персональний склад Комісії визначається розпорядженням міського голови у складі заступника міського голови згідно з функціональним розподілом повноважень, керівників структурних підрозділів Сумської міської ради, депутатів міської ради (за згодою) та представників підприємств, установ, організацій (за згодою).</w:t>
      </w:r>
    </w:p>
    <w:p w:rsidR="009E0084" w:rsidRPr="008F05A8" w:rsidRDefault="00377B48" w:rsidP="00F331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05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Головний розпорядник коштів – Департамент інфраструктури міста Сумської міської ради на підставі протоколу Комісії укладає договір про відшкодування різниці </w:t>
      </w:r>
      <w:r w:rsidR="0061659F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</w:t>
      </w:r>
      <w:r w:rsidRPr="008F05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тарифа</w:t>
      </w:r>
      <w:r w:rsidR="0061659F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</w:t>
      </w:r>
      <w:r w:rsidRPr="008F05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суб’єктом господарювання і перераховує кошти суб’єктам господарювання у межах, які не перевищують відповідних бюджетних призначень на 2022 рік</w:t>
      </w:r>
      <w:r w:rsidR="009E0084" w:rsidRPr="008F05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E0084" w:rsidRDefault="009E0084" w:rsidP="00F3319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zh-CN" w:bidi="hi-IN"/>
        </w:rPr>
      </w:pPr>
      <w:r w:rsidRPr="008F05A8">
        <w:rPr>
          <w:rFonts w:ascii="Liberation Serif" w:eastAsia="SimSun" w:hAnsi="Liberation Serif" w:cs="Mangal"/>
          <w:color w:val="000000"/>
          <w:kern w:val="2"/>
          <w:sz w:val="28"/>
          <w:szCs w:val="28"/>
          <w:lang w:val="uk-UA" w:eastAsia="zh-CN" w:bidi="hi-IN"/>
        </w:rPr>
        <w:t xml:space="preserve">6. Заключний звіт </w:t>
      </w:r>
      <w:r w:rsidRPr="008F05A8">
        <w:rPr>
          <w:rFonts w:ascii="Times New Roman" w:eastAsia="SimSun" w:hAnsi="Times New Roman" w:cs="Times New Roman"/>
          <w:kern w:val="2"/>
          <w:sz w:val="28"/>
          <w:szCs w:val="28"/>
          <w:lang w:val="uk-UA" w:eastAsia="uk-UA" w:bidi="uk-UA"/>
        </w:rPr>
        <w:t xml:space="preserve">за опалювальний період </w:t>
      </w:r>
      <w:r w:rsidRPr="008F05A8">
        <w:rPr>
          <w:rFonts w:ascii="Liberation Serif" w:eastAsia="SimSun" w:hAnsi="Liberation Serif" w:cs="Mangal"/>
          <w:kern w:val="2"/>
          <w:sz w:val="28"/>
          <w:szCs w:val="28"/>
          <w:shd w:val="clear" w:color="auto" w:fill="FFFFFF"/>
          <w:lang w:val="uk-UA" w:eastAsia="zh-CN" w:bidi="hi-IN"/>
        </w:rPr>
        <w:t>2021/2022 років</w:t>
      </w:r>
      <w:r w:rsidRPr="008F05A8">
        <w:rPr>
          <w:rFonts w:ascii="Liberation Serif" w:eastAsia="SimSun" w:hAnsi="Liberation Serif" w:cs="Mangal"/>
          <w:color w:val="000000"/>
          <w:kern w:val="2"/>
          <w:sz w:val="28"/>
          <w:szCs w:val="28"/>
          <w:lang w:val="uk-UA" w:eastAsia="zh-CN" w:bidi="hi-IN"/>
        </w:rPr>
        <w:t xml:space="preserve"> про фактичне споживання </w:t>
      </w:r>
      <w:r w:rsidRPr="008F05A8">
        <w:rPr>
          <w:rFonts w:ascii="Times New Roman" w:eastAsia="SimSun" w:hAnsi="Times New Roman" w:cs="Times New Roman"/>
          <w:kern w:val="2"/>
          <w:sz w:val="28"/>
          <w:szCs w:val="28"/>
          <w:lang w:val="uk-UA" w:eastAsia="uk-UA" w:bidi="uk-UA"/>
        </w:rPr>
        <w:t xml:space="preserve">у розрізі категорії споживачів «населення» та суми отриманих суб’єктами господарювання бюджетних коштів  різниці </w:t>
      </w:r>
      <w:r w:rsidR="0061659F">
        <w:rPr>
          <w:rFonts w:ascii="Times New Roman" w:eastAsia="SimSun" w:hAnsi="Times New Roman" w:cs="Times New Roman"/>
          <w:kern w:val="2"/>
          <w:sz w:val="28"/>
          <w:szCs w:val="28"/>
          <w:lang w:val="uk-UA" w:eastAsia="uk-UA" w:bidi="uk-UA"/>
        </w:rPr>
        <w:t>між</w:t>
      </w:r>
      <w:r w:rsidRPr="008F05A8">
        <w:rPr>
          <w:rFonts w:ascii="Times New Roman" w:eastAsia="SimSun" w:hAnsi="Times New Roman" w:cs="Times New Roman"/>
          <w:kern w:val="2"/>
          <w:sz w:val="28"/>
          <w:szCs w:val="28"/>
          <w:lang w:val="uk-UA" w:eastAsia="uk-UA" w:bidi="uk-UA"/>
        </w:rPr>
        <w:t xml:space="preserve"> тарифа</w:t>
      </w:r>
      <w:r w:rsidR="0061659F">
        <w:rPr>
          <w:rFonts w:ascii="Times New Roman" w:eastAsia="SimSun" w:hAnsi="Times New Roman" w:cs="Times New Roman"/>
          <w:kern w:val="2"/>
          <w:sz w:val="28"/>
          <w:szCs w:val="28"/>
          <w:lang w:val="uk-UA" w:eastAsia="uk-UA" w:bidi="uk-UA"/>
        </w:rPr>
        <w:t>ми</w:t>
      </w:r>
      <w:r w:rsidRPr="008F05A8">
        <w:rPr>
          <w:rFonts w:ascii="Times New Roman" w:eastAsia="SimSun" w:hAnsi="Times New Roman" w:cs="Times New Roman"/>
          <w:kern w:val="2"/>
          <w:sz w:val="28"/>
          <w:szCs w:val="28"/>
          <w:lang w:val="uk-UA" w:eastAsia="uk-UA" w:bidi="uk-UA"/>
        </w:rPr>
        <w:t xml:space="preserve"> подається до </w:t>
      </w:r>
      <w:r w:rsidRPr="008F05A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zh-CN" w:bidi="hi-IN"/>
        </w:rPr>
        <w:t xml:space="preserve">Департаменту інфраструктури міста Сумської міської ради </w:t>
      </w:r>
      <w:r w:rsidRPr="008F05A8">
        <w:rPr>
          <w:rFonts w:ascii="Times New Roman" w:eastAsia="SimSun" w:hAnsi="Times New Roman" w:cs="Times New Roman"/>
          <w:kern w:val="2"/>
          <w:sz w:val="28"/>
          <w:szCs w:val="28"/>
          <w:lang w:val="uk-UA" w:eastAsia="zh-CN" w:bidi="hi-IN"/>
        </w:rPr>
        <w:t>у термін до 20 червня 2022 року.</w:t>
      </w:r>
    </w:p>
    <w:p w:rsidR="00ED1F2F" w:rsidRPr="00ED1F2F" w:rsidRDefault="00ED1F2F" w:rsidP="00F3319E">
      <w:pPr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319E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ED1F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ерерахування коштів суб’єктам господарювання за березень - квітень 2022 року буде проведено після отримання заключного звіту за опалювальний період 2021/2022 років про фактичне споживання у розрізі споживачів «населення», звірки його з плановими обсягами реалізації теплової енергії, порівняння сум відшкодування різниці </w:t>
      </w:r>
      <w:r w:rsidR="0061659F">
        <w:rPr>
          <w:rFonts w:ascii="Times New Roman" w:eastAsia="Calibri" w:hAnsi="Times New Roman" w:cs="Times New Roman"/>
          <w:sz w:val="28"/>
          <w:szCs w:val="28"/>
          <w:lang w:val="uk-UA"/>
        </w:rPr>
        <w:t>між</w:t>
      </w:r>
      <w:r w:rsidRPr="00ED1F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тарифа</w:t>
      </w:r>
      <w:r w:rsidR="0061659F">
        <w:rPr>
          <w:rFonts w:ascii="Times New Roman" w:eastAsia="Calibri" w:hAnsi="Times New Roman" w:cs="Times New Roman"/>
          <w:sz w:val="28"/>
          <w:szCs w:val="28"/>
          <w:lang w:val="uk-UA"/>
        </w:rPr>
        <w:t>ми6</w:t>
      </w:r>
      <w:r w:rsidRPr="00ED1F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сумою для покриття чистої фінансової різниці між понесеними витратами та отриманими доходами суб’єктів господарювання при виконанні зобов’язання надавати відповідні громадські послуги загального інтересу, з урахуванням доходу, який залишається у підприємства, та розумного рівня прибутку, окремо                                 за  4 квартал 2021 року та опалювальний період 2022 року.</w:t>
      </w:r>
    </w:p>
    <w:p w:rsidR="00ED1F2F" w:rsidRPr="008F05A8" w:rsidRDefault="00ED1F2F" w:rsidP="00F3319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zh-CN" w:bidi="hi-IN"/>
        </w:rPr>
      </w:pPr>
      <w:r w:rsidRPr="00F3319E">
        <w:rPr>
          <w:rFonts w:ascii="Liberation Serif" w:eastAsia="SimSun" w:hAnsi="Liberation Serif" w:cs="Mangal"/>
          <w:color w:val="000000"/>
          <w:kern w:val="2"/>
          <w:sz w:val="28"/>
          <w:szCs w:val="28"/>
          <w:lang w:val="uk-UA" w:eastAsia="zh-CN" w:bidi="hi-IN"/>
        </w:rPr>
        <w:t xml:space="preserve">У разі встановлення отримання </w:t>
      </w:r>
      <w:r w:rsidRPr="00F3319E">
        <w:rPr>
          <w:rFonts w:ascii="Liberation Serif" w:eastAsia="SimSun" w:hAnsi="Liberation Serif" w:cs="Mangal"/>
          <w:kern w:val="2"/>
          <w:sz w:val="28"/>
          <w:szCs w:val="28"/>
          <w:shd w:val="clear" w:color="auto" w:fill="FFFFFF"/>
          <w:lang w:val="uk-UA" w:eastAsia="zh-CN" w:bidi="hi-IN"/>
        </w:rPr>
        <w:t xml:space="preserve">суб’єктом господарювання </w:t>
      </w:r>
      <w:r w:rsidRPr="00F3319E">
        <w:rPr>
          <w:rFonts w:ascii="Liberation Serif" w:eastAsia="SimSun" w:hAnsi="Liberation Serif" w:cs="Mangal"/>
          <w:color w:val="000000"/>
          <w:kern w:val="2"/>
          <w:sz w:val="28"/>
          <w:szCs w:val="28"/>
          <w:lang w:val="uk-UA" w:eastAsia="zh-CN" w:bidi="hi-IN"/>
        </w:rPr>
        <w:t xml:space="preserve">зайвих </w:t>
      </w:r>
      <w:r w:rsidRPr="00F3319E">
        <w:rPr>
          <w:rFonts w:ascii="Liberation Serif" w:eastAsia="SimSun" w:hAnsi="Liberation Serif" w:cs="Mangal"/>
          <w:kern w:val="2"/>
          <w:sz w:val="28"/>
          <w:szCs w:val="28"/>
          <w:shd w:val="clear" w:color="auto" w:fill="FFFFFF"/>
          <w:lang w:val="uk-UA" w:eastAsia="zh-CN" w:bidi="hi-IN"/>
        </w:rPr>
        <w:t xml:space="preserve">обсягів відшкодування </w:t>
      </w:r>
      <w:r w:rsidR="0061659F">
        <w:rPr>
          <w:rFonts w:ascii="Liberation Serif" w:eastAsia="SimSun" w:hAnsi="Liberation Serif" w:cs="Mangal"/>
          <w:kern w:val="2"/>
          <w:sz w:val="28"/>
          <w:szCs w:val="28"/>
          <w:shd w:val="clear" w:color="auto" w:fill="FFFFFF"/>
          <w:lang w:val="uk-UA" w:eastAsia="zh-CN" w:bidi="hi-IN"/>
        </w:rPr>
        <w:t>різниці між</w:t>
      </w:r>
      <w:r w:rsidRPr="00F3319E">
        <w:rPr>
          <w:rFonts w:ascii="Liberation Serif" w:eastAsia="SimSun" w:hAnsi="Liberation Serif" w:cs="Mangal"/>
          <w:kern w:val="2"/>
          <w:sz w:val="28"/>
          <w:szCs w:val="28"/>
          <w:shd w:val="clear" w:color="auto" w:fill="FFFFFF"/>
          <w:lang w:val="uk-UA" w:eastAsia="zh-CN" w:bidi="hi-IN"/>
        </w:rPr>
        <w:t xml:space="preserve"> тарифа</w:t>
      </w:r>
      <w:r w:rsidR="0061659F">
        <w:rPr>
          <w:rFonts w:ascii="Liberation Serif" w:eastAsia="SimSun" w:hAnsi="Liberation Serif" w:cs="Mangal"/>
          <w:kern w:val="2"/>
          <w:sz w:val="28"/>
          <w:szCs w:val="28"/>
          <w:shd w:val="clear" w:color="auto" w:fill="FFFFFF"/>
          <w:lang w:val="uk-UA" w:eastAsia="zh-CN" w:bidi="hi-IN"/>
        </w:rPr>
        <w:t>ми</w:t>
      </w:r>
      <w:r w:rsidRPr="00F3319E">
        <w:rPr>
          <w:rFonts w:ascii="Liberation Serif" w:eastAsia="SimSun" w:hAnsi="Liberation Serif" w:cs="Mangal"/>
          <w:kern w:val="2"/>
          <w:sz w:val="28"/>
          <w:szCs w:val="28"/>
          <w:shd w:val="clear" w:color="auto" w:fill="FFFFFF"/>
          <w:lang w:val="uk-UA" w:eastAsia="zh-CN" w:bidi="hi-IN"/>
        </w:rPr>
        <w:t xml:space="preserve"> за опалювальний період 2021/2022 роки</w:t>
      </w:r>
      <w:r w:rsidR="0061659F">
        <w:rPr>
          <w:rFonts w:ascii="Liberation Serif" w:eastAsia="SimSun" w:hAnsi="Liberation Serif" w:cs="Mangal"/>
          <w:kern w:val="2"/>
          <w:sz w:val="28"/>
          <w:szCs w:val="28"/>
          <w:shd w:val="clear" w:color="auto" w:fill="FFFFFF"/>
          <w:lang w:val="uk-UA" w:eastAsia="zh-CN" w:bidi="hi-IN"/>
        </w:rPr>
        <w:t xml:space="preserve"> </w:t>
      </w:r>
      <w:r w:rsidR="0061659F">
        <w:rPr>
          <w:rFonts w:ascii="Liberation Serif" w:eastAsia="SimSun" w:hAnsi="Liberation Serif" w:cs="Mangal"/>
          <w:kern w:val="2"/>
          <w:sz w:val="28"/>
          <w:szCs w:val="28"/>
          <w:shd w:val="clear" w:color="auto" w:fill="FFFFFF"/>
          <w:lang w:val="uk-UA" w:eastAsia="zh-CN" w:bidi="hi-IN"/>
        </w:rPr>
        <w:lastRenderedPageBreak/>
        <w:t>та</w:t>
      </w:r>
      <w:r w:rsidRPr="00F3319E">
        <w:rPr>
          <w:rFonts w:ascii="Liberation Serif" w:eastAsia="SimSun" w:hAnsi="Liberation Serif" w:cs="Mangal"/>
          <w:kern w:val="2"/>
          <w:sz w:val="28"/>
          <w:szCs w:val="28"/>
          <w:shd w:val="clear" w:color="auto" w:fill="FFFFFF"/>
          <w:lang w:val="uk-UA" w:eastAsia="zh-CN" w:bidi="hi-IN"/>
        </w:rPr>
        <w:t xml:space="preserve"> </w:t>
      </w:r>
      <w:r w:rsidRPr="00F33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використання коштів не за цільовим призначенням, </w:t>
      </w:r>
      <w:r w:rsidRPr="00F3319E">
        <w:rPr>
          <w:rFonts w:ascii="Times New Roman" w:eastAsia="SimSun" w:hAnsi="Times New Roman" w:cs="Times New Roman"/>
          <w:kern w:val="2"/>
          <w:sz w:val="28"/>
          <w:szCs w:val="28"/>
          <w:lang w:val="uk-UA" w:eastAsia="zh-CN" w:bidi="hi-IN"/>
        </w:rPr>
        <w:t>їх повернення здійснюється згідно вимог чинного законодавства</w:t>
      </w:r>
      <w:r w:rsidR="00F3319E" w:rsidRPr="00F3319E">
        <w:rPr>
          <w:rFonts w:ascii="Times New Roman" w:eastAsia="SimSun" w:hAnsi="Times New Roman" w:cs="Times New Roman"/>
          <w:kern w:val="2"/>
          <w:sz w:val="28"/>
          <w:szCs w:val="28"/>
          <w:lang w:val="uk-UA" w:eastAsia="zh-CN" w:bidi="hi-IN"/>
        </w:rPr>
        <w:t>.</w:t>
      </w:r>
    </w:p>
    <w:p w:rsidR="00695DA5" w:rsidRPr="008F05A8" w:rsidRDefault="00695DA5" w:rsidP="00F3319E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95DA5" w:rsidRPr="008F05A8" w:rsidRDefault="00695DA5" w:rsidP="009E0084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E0084" w:rsidRPr="008F05A8" w:rsidRDefault="009E0084" w:rsidP="009E0084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8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8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Олександр ЛИСЕНКО </w:t>
      </w:r>
    </w:p>
    <w:p w:rsidR="009E0084" w:rsidRPr="008F05A8" w:rsidRDefault="009E0084" w:rsidP="009E00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E0084" w:rsidRPr="008F05A8" w:rsidRDefault="009E0084" w:rsidP="00316A11">
      <w:pPr>
        <w:spacing w:after="0" w:line="240" w:lineRule="auto"/>
        <w:rPr>
          <w:sz w:val="28"/>
          <w:szCs w:val="28"/>
          <w:lang w:val="uk-UA"/>
        </w:rPr>
      </w:pPr>
      <w:r w:rsidRPr="008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Виконавець: Олександр ЖУРБА</w:t>
      </w:r>
    </w:p>
    <w:sectPr w:rsidR="009E0084" w:rsidRPr="008F05A8" w:rsidSect="00F3319E">
      <w:headerReference w:type="default" r:id="rId7"/>
      <w:pgSz w:w="11906" w:h="16838"/>
      <w:pgMar w:top="709" w:right="850" w:bottom="568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A11" w:rsidRDefault="00316A11" w:rsidP="00316A11">
      <w:pPr>
        <w:spacing w:after="0" w:line="240" w:lineRule="auto"/>
      </w:pPr>
      <w:r>
        <w:separator/>
      </w:r>
    </w:p>
  </w:endnote>
  <w:endnote w:type="continuationSeparator" w:id="0">
    <w:p w:rsidR="00316A11" w:rsidRDefault="00316A11" w:rsidP="0031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A11" w:rsidRDefault="00316A11" w:rsidP="00316A11">
      <w:pPr>
        <w:spacing w:after="0" w:line="240" w:lineRule="auto"/>
      </w:pPr>
      <w:r>
        <w:separator/>
      </w:r>
    </w:p>
  </w:footnote>
  <w:footnote w:type="continuationSeparator" w:id="0">
    <w:p w:rsidR="00316A11" w:rsidRDefault="00316A11" w:rsidP="00316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123620"/>
      <w:docPartObj>
        <w:docPartGallery w:val="Page Numbers (Top of Page)"/>
        <w:docPartUnique/>
      </w:docPartObj>
    </w:sdtPr>
    <w:sdtEndPr/>
    <w:sdtContent>
      <w:p w:rsidR="00316A11" w:rsidRDefault="00316A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91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C6"/>
    <w:multiLevelType w:val="hybridMultilevel"/>
    <w:tmpl w:val="E2ECFA9A"/>
    <w:lvl w:ilvl="0" w:tplc="B8587D92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1B64368"/>
    <w:multiLevelType w:val="hybridMultilevel"/>
    <w:tmpl w:val="044C2C00"/>
    <w:lvl w:ilvl="0" w:tplc="6A1A00D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01"/>
    <w:rsid w:val="001805D6"/>
    <w:rsid w:val="001D744C"/>
    <w:rsid w:val="002A18C9"/>
    <w:rsid w:val="00316A11"/>
    <w:rsid w:val="00377B48"/>
    <w:rsid w:val="003E2F3C"/>
    <w:rsid w:val="004452C8"/>
    <w:rsid w:val="004B4CD0"/>
    <w:rsid w:val="0061659F"/>
    <w:rsid w:val="00631665"/>
    <w:rsid w:val="00695DA5"/>
    <w:rsid w:val="006D491D"/>
    <w:rsid w:val="00705BED"/>
    <w:rsid w:val="007220CF"/>
    <w:rsid w:val="007B2DD1"/>
    <w:rsid w:val="007C680B"/>
    <w:rsid w:val="007D285E"/>
    <w:rsid w:val="0083567F"/>
    <w:rsid w:val="00894864"/>
    <w:rsid w:val="008C62FA"/>
    <w:rsid w:val="008E5BF0"/>
    <w:rsid w:val="008F05A8"/>
    <w:rsid w:val="008F2661"/>
    <w:rsid w:val="00976004"/>
    <w:rsid w:val="009E0084"/>
    <w:rsid w:val="00A51A66"/>
    <w:rsid w:val="00AE3970"/>
    <w:rsid w:val="00B879F7"/>
    <w:rsid w:val="00BA29EA"/>
    <w:rsid w:val="00BC7ED1"/>
    <w:rsid w:val="00DD4262"/>
    <w:rsid w:val="00E01FB0"/>
    <w:rsid w:val="00E7696C"/>
    <w:rsid w:val="00ED1F2F"/>
    <w:rsid w:val="00ED7802"/>
    <w:rsid w:val="00EF7E2C"/>
    <w:rsid w:val="00F3319E"/>
    <w:rsid w:val="00F51A01"/>
    <w:rsid w:val="00F9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4609"/>
  <w15:chartTrackingRefBased/>
  <w15:docId w15:val="{2C1782A5-A499-4DE7-BE40-5A76AAB0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E00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31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6A11"/>
  </w:style>
  <w:style w:type="paragraph" w:styleId="a6">
    <w:name w:val="footer"/>
    <w:basedOn w:val="a"/>
    <w:link w:val="a7"/>
    <w:uiPriority w:val="99"/>
    <w:unhideWhenUsed/>
    <w:rsid w:val="0031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A11"/>
  </w:style>
  <w:style w:type="paragraph" w:styleId="a8">
    <w:name w:val="Balloon Text"/>
    <w:basedOn w:val="a"/>
    <w:link w:val="a9"/>
    <w:uiPriority w:val="99"/>
    <w:semiHidden/>
    <w:unhideWhenUsed/>
    <w:rsid w:val="00BC7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7ED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01F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Іванченко Яна Юріївна</dc:creator>
  <cp:keywords/>
  <dc:description/>
  <cp:lastModifiedBy>Іванченко Яна Юріївна</cp:lastModifiedBy>
  <cp:revision>12</cp:revision>
  <cp:lastPrinted>2022-02-16T14:53:00Z</cp:lastPrinted>
  <dcterms:created xsi:type="dcterms:W3CDTF">2022-02-09T15:27:00Z</dcterms:created>
  <dcterms:modified xsi:type="dcterms:W3CDTF">2022-02-16T15:05:00Z</dcterms:modified>
</cp:coreProperties>
</file>