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4269" w:type="dxa"/>
        <w:jc w:val="center"/>
        <w:tblLayout w:type="fixed"/>
        <w:tblLook w:val="01E0" w:firstRow="1" w:lastRow="1" w:firstColumn="1" w:lastColumn="1" w:noHBand="0" w:noVBand="0"/>
      </w:tblPr>
      <w:tblGrid>
        <w:gridCol w:w="11395"/>
        <w:gridCol w:w="1134"/>
        <w:gridCol w:w="7487"/>
        <w:gridCol w:w="4253"/>
      </w:tblGrid>
      <w:tr w:rsidR="00493C3D" w:rsidRPr="00493C3D" w:rsidTr="005141FC">
        <w:trPr>
          <w:jc w:val="center"/>
        </w:trPr>
        <w:tc>
          <w:tcPr>
            <w:tcW w:w="11395" w:type="dxa"/>
            <w:shd w:val="clear" w:color="auto" w:fill="auto"/>
          </w:tcPr>
          <w:p w:rsidR="00493C3D" w:rsidRPr="00493C3D" w:rsidRDefault="00493C3D" w:rsidP="0049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</w:t>
            </w:r>
          </w:p>
          <w:p w:rsidR="00493C3D" w:rsidRPr="00493C3D" w:rsidRDefault="00493C3D" w:rsidP="0049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C3D" w:rsidRPr="00493C3D" w:rsidRDefault="00493C3D" w:rsidP="00493C3D">
            <w:pPr>
              <w:spacing w:after="0" w:line="240" w:lineRule="auto"/>
              <w:ind w:right="-10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493C3D" w:rsidRPr="00493C3D" w:rsidRDefault="00493C3D" w:rsidP="0049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93C3D" w:rsidRPr="00493C3D" w:rsidRDefault="00493C3D" w:rsidP="00493C3D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93C3D" w:rsidRPr="00493C3D" w:rsidRDefault="00493C3D" w:rsidP="0049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3C3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7" w:type="dxa"/>
          </w:tcPr>
          <w:p w:rsidR="00493C3D" w:rsidRPr="00493C3D" w:rsidRDefault="00493C3D" w:rsidP="00493C3D">
            <w:pPr>
              <w:tabs>
                <w:tab w:val="left" w:pos="8447"/>
              </w:tabs>
              <w:spacing w:after="0" w:line="240" w:lineRule="auto"/>
              <w:ind w:right="-197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Pr="00493C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</w:t>
            </w:r>
          </w:p>
          <w:p w:rsidR="00493C3D" w:rsidRPr="00493C3D" w:rsidRDefault="00493C3D" w:rsidP="00493C3D">
            <w:pPr>
              <w:tabs>
                <w:tab w:val="left" w:pos="8447"/>
              </w:tabs>
              <w:spacing w:before="56" w:after="0" w:line="240" w:lineRule="auto"/>
              <w:ind w:left="-74" w:right="-13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493C3D" w:rsidRPr="00493C3D" w:rsidRDefault="00493C3D" w:rsidP="00493C3D">
            <w:pPr>
              <w:spacing w:after="0" w:line="240" w:lineRule="auto"/>
              <w:ind w:right="-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3C3D" w:rsidRPr="00493C3D" w:rsidRDefault="00493C3D" w:rsidP="0049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</w:t>
            </w:r>
          </w:p>
        </w:tc>
      </w:tr>
    </w:tbl>
    <w:p w:rsidR="00493C3D" w:rsidRPr="00493C3D" w:rsidRDefault="00493C3D" w:rsidP="00493C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493C3D" w:rsidRPr="00493C3D" w:rsidRDefault="00493C3D" w:rsidP="0049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493C3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493C3D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493C3D" w:rsidRPr="00493C3D" w:rsidRDefault="00493C3D" w:rsidP="0049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49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3C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СКЛИКАННЯ</w:t>
      </w:r>
      <w:r w:rsidR="00CE50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50C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XVIII </w:t>
      </w:r>
      <w:r w:rsidRPr="00493C3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СЕСІЯ</w:t>
      </w:r>
      <w:r w:rsidRPr="00493C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93C3D" w:rsidRPr="00493C3D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93C3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493C3D" w:rsidRPr="00CC78F0" w:rsidRDefault="00493C3D" w:rsidP="00493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245"/>
      </w:tblGrid>
      <w:tr w:rsidR="00493C3D" w:rsidRPr="00CE50CD" w:rsidTr="005141FC">
        <w:tc>
          <w:tcPr>
            <w:tcW w:w="524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493C3D" w:rsidRPr="00493C3D" w:rsidRDefault="00493C3D" w:rsidP="0049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0"/>
            </w:tblGrid>
            <w:tr w:rsidR="00493C3D" w:rsidRPr="00CE50CD" w:rsidTr="005141FC">
              <w:trPr>
                <w:trHeight w:val="67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3C3D" w:rsidRPr="00493C3D" w:rsidRDefault="00CE50CD" w:rsidP="00CE50CD">
                  <w:pPr>
                    <w:framePr w:hSpace="180" w:wrap="around" w:vAnchor="text" w:hAnchor="text" w:y="1"/>
                    <w:spacing w:after="0" w:line="240" w:lineRule="auto"/>
                    <w:ind w:left="-1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від 16 лютого </w:t>
                  </w:r>
                  <w:r w:rsidR="00176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202</w:t>
                  </w:r>
                  <w:r w:rsidR="001763B5" w:rsidRPr="003B2AE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року № 2732</w:t>
                  </w:r>
                  <w:r w:rsidR="00493C3D" w:rsidRPr="00493C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-МР </w:t>
                  </w:r>
                </w:p>
              </w:tc>
            </w:tr>
            <w:tr w:rsidR="00493C3D" w:rsidRPr="00CE50CD" w:rsidTr="005141FC">
              <w:trPr>
                <w:trHeight w:val="548"/>
              </w:trPr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493C3D" w:rsidRPr="00493C3D" w:rsidRDefault="00493C3D" w:rsidP="00CE50CD">
                  <w:pPr>
                    <w:framePr w:hSpace="180" w:wrap="around" w:vAnchor="text" w:hAnchor="text" w:y="1"/>
                    <w:spacing w:after="0" w:line="240" w:lineRule="auto"/>
                    <w:ind w:left="-120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493C3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м. Суми</w:t>
                  </w:r>
                </w:p>
                <w:p w:rsidR="00493C3D" w:rsidRPr="00CC78F0" w:rsidRDefault="00493C3D" w:rsidP="00CE50C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uk-UA" w:eastAsia="ru-RU"/>
                    </w:rPr>
                  </w:pPr>
                </w:p>
              </w:tc>
            </w:tr>
          </w:tbl>
          <w:p w:rsidR="00493C3D" w:rsidRPr="00493C3D" w:rsidRDefault="00493C3D" w:rsidP="00CC78F0">
            <w:pPr>
              <w:tabs>
                <w:tab w:val="left" w:pos="1560"/>
              </w:tabs>
              <w:spacing w:after="0" w:line="240" w:lineRule="auto"/>
              <w:ind w:right="-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затвердження програми </w:t>
            </w:r>
            <w:r w:rsidRPr="00493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«Відкритий інформаційний простір Сумської міської територіа</w:t>
            </w:r>
            <w:r w:rsidR="00CC78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льної громади» на 2022 рік</w:t>
            </w:r>
            <w:r w:rsidRPr="00493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493C3D" w:rsidRPr="00CE50CD" w:rsidTr="005141FC">
        <w:tc>
          <w:tcPr>
            <w:tcW w:w="5245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93C3D" w:rsidRPr="003B2AEE" w:rsidRDefault="00493C3D" w:rsidP="0049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493C3D" w:rsidRPr="00CE50CD" w:rsidTr="005141FC">
        <w:tc>
          <w:tcPr>
            <w:tcW w:w="5245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493C3D" w:rsidRPr="00493C3D" w:rsidRDefault="00493C3D" w:rsidP="00493C3D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93C3D" w:rsidRPr="00493C3D" w:rsidRDefault="00493C3D" w:rsidP="00493C3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C3D" w:rsidRPr="00493C3D" w:rsidRDefault="00493C3D" w:rsidP="00493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  <w:r w:rsidRPr="0049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  <w:r w:rsidR="00CC7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З метою інформування громадян щодо</w:t>
      </w:r>
      <w:r w:rsidR="00CC78F0" w:rsidRPr="00CC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C78F0"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діяльності органів місцевого самоврядування</w:t>
      </w:r>
      <w:r w:rsidR="00CC78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керуючись Законом України</w:t>
      </w:r>
      <w:r w:rsidR="00CC78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порядок висвітлення діяльності органів державної влади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місцевого самоврядування», </w:t>
      </w:r>
      <w:r w:rsidRPr="0049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статтею 25 Закону України «Про місцеве самоврядування в Україні», Сумська міська рада</w:t>
      </w:r>
    </w:p>
    <w:p w:rsidR="00493C3D" w:rsidRPr="00493C3D" w:rsidRDefault="00493C3D" w:rsidP="00493C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93C3D" w:rsidRPr="00CC78F0" w:rsidRDefault="00493C3D" w:rsidP="00493C3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val="uk-UA" w:eastAsia="ru-RU"/>
        </w:rPr>
      </w:pPr>
    </w:p>
    <w:p w:rsidR="00493C3D" w:rsidRPr="00493C3D" w:rsidRDefault="00493C3D" w:rsidP="00493C3D">
      <w:pPr>
        <w:widowControl w:val="0"/>
        <w:autoSpaceDE w:val="0"/>
        <w:autoSpaceDN w:val="0"/>
        <w:adjustRightInd w:val="0"/>
        <w:spacing w:after="0" w:line="240" w:lineRule="auto"/>
        <w:ind w:right="108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493C3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1. Затвердити програму «Відкритий інформаційний простір Сумської міської територіа</w:t>
      </w:r>
      <w:r w:rsidR="00CC78F0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льної громади» на 2022 рік</w:t>
      </w:r>
      <w:r w:rsidRPr="00493C3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(далі – Програма) згідно з додатком до рішення.</w:t>
      </w:r>
    </w:p>
    <w:p w:rsidR="00493C3D" w:rsidRPr="00493C3D" w:rsidRDefault="00493C3D" w:rsidP="00493C3D">
      <w:pPr>
        <w:widowControl w:val="0"/>
        <w:autoSpaceDE w:val="0"/>
        <w:autoSpaceDN w:val="0"/>
        <w:adjustRightInd w:val="0"/>
        <w:spacing w:after="0" w:line="240" w:lineRule="auto"/>
        <w:ind w:right="108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493C3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2. </w:t>
      </w:r>
      <w:r w:rsidRPr="00493C3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       міської ради (Кохан А.І.) </w:t>
      </w:r>
      <w:r w:rsidRPr="00493C3D">
        <w:rPr>
          <w:rFonts w:ascii="Times New Roman" w:eastAsia="Times New Roman" w:hAnsi="Times New Roman" w:cs="Times New Roman"/>
          <w:sz w:val="28"/>
          <w:lang w:val="uk-UA" w:eastAsia="ru-RU"/>
        </w:rPr>
        <w:t xml:space="preserve">звітувати Сумській міській раді про хід    виконання програми </w:t>
      </w:r>
      <w:r w:rsidRPr="00493C3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«Відкритий інформаційний простір Сумської міської       територіальної </w:t>
      </w:r>
      <w:r w:rsidR="00CC78F0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>громади» на 2022 рік до 01 квітня 2023 року.</w:t>
      </w:r>
    </w:p>
    <w:p w:rsidR="00493C3D" w:rsidRPr="00493C3D" w:rsidRDefault="00493C3D" w:rsidP="00493C3D">
      <w:pPr>
        <w:widowControl w:val="0"/>
        <w:autoSpaceDE w:val="0"/>
        <w:autoSpaceDN w:val="0"/>
        <w:adjustRightInd w:val="0"/>
        <w:spacing w:after="0" w:line="240" w:lineRule="auto"/>
        <w:ind w:right="108" w:firstLine="709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493C3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3. </w:t>
      </w:r>
      <w:r w:rsidRPr="00493C3D">
        <w:rPr>
          <w:rFonts w:ascii="Times New Roman" w:eastAsia="Calibri" w:hAnsi="Times New Roman" w:cs="Times New Roman"/>
          <w:sz w:val="28"/>
          <w:szCs w:val="28"/>
          <w:lang w:val="uk-UA"/>
        </w:rPr>
        <w:t>Рішення  Сумської міської ради  від 28 ли</w:t>
      </w:r>
      <w:r w:rsidR="00124D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стопада 2018 року </w:t>
      </w:r>
      <w:r w:rsidRPr="00493C3D">
        <w:rPr>
          <w:rFonts w:ascii="Times New Roman" w:eastAsia="Calibri" w:hAnsi="Times New Roman" w:cs="Times New Roman"/>
          <w:sz w:val="28"/>
          <w:szCs w:val="28"/>
          <w:lang w:val="uk-UA"/>
        </w:rPr>
        <w:t>№ 4154 – МР</w:t>
      </w:r>
      <w:r w:rsidRPr="00493C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«Про </w:t>
      </w:r>
      <w:r w:rsidRPr="00493C3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програму </w:t>
      </w:r>
      <w:r w:rsidRPr="00493C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«Відкритий інформаційний простір Сумської   міської територіальної громади» на 2019-2021 </w:t>
      </w:r>
      <w:r w:rsidR="002A71AF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роки (зі змінами) визнати  </w:t>
      </w:r>
      <w:r w:rsidRPr="00493C3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таким, що втратило чинність з 01 січня 2022 року.</w:t>
      </w:r>
    </w:p>
    <w:p w:rsidR="00493C3D" w:rsidRDefault="00493C3D" w:rsidP="004910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  <w:r w:rsidRPr="0049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91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Pr="0049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Організацію виконання даного рішення покласти на керуючого      справами виконавчого комітету Сумської міської ради Павлик Ю.А., контроль- на </w:t>
      </w: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постійну комісію </w:t>
      </w:r>
      <w:hyperlink r:id="rId7" w:history="1">
        <w:r w:rsidRPr="00493C3D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uk-UA" w:eastAsia="ru-RU"/>
          </w:rPr>
          <w:t>з питань законності, взаємодії з правоохоронними          органами, запобігання та протидії корупції, місцевого самоврядування,           регламенту, депутатської діяльності та етики, з питань майна комунальної    власності та приватизації</w:t>
        </w:r>
      </w:hyperlink>
      <w:r w:rsidRPr="00493C3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.</w:t>
      </w:r>
    </w:p>
    <w:p w:rsidR="00C516AF" w:rsidRDefault="00C516AF" w:rsidP="00493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4910E4" w:rsidRPr="004910E4" w:rsidRDefault="004910E4" w:rsidP="00493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uk-UA" w:eastAsia="ru-RU"/>
        </w:rPr>
      </w:pPr>
    </w:p>
    <w:p w:rsidR="00493C3D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516AF" w:rsidRDefault="00C516AF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516AF" w:rsidRDefault="00C516AF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516AF" w:rsidRPr="00C516AF" w:rsidRDefault="00C516AF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93C3D" w:rsidRPr="00493C3D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</w:t>
      </w:r>
      <w:r w:rsidR="002A7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ський голова</w:t>
      </w:r>
      <w:r w:rsidR="002A7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A7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A7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A7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A71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Олександр ЛИСЕНКО</w:t>
      </w:r>
    </w:p>
    <w:p w:rsidR="00493C3D" w:rsidRPr="00C516AF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493C3D" w:rsidRPr="00493C3D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3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Кохан А.І.</w:t>
      </w:r>
    </w:p>
    <w:p w:rsidR="00493C3D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516AF" w:rsidRDefault="00C516AF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516AF" w:rsidRDefault="00C516AF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910E4" w:rsidRDefault="004910E4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910E4" w:rsidRDefault="004910E4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910E4" w:rsidRDefault="004910E4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910E4" w:rsidRDefault="004910E4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910E4" w:rsidRDefault="004910E4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4910E4" w:rsidRDefault="004910E4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516AF" w:rsidRDefault="00C516AF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516AF" w:rsidRDefault="00C516AF" w:rsidP="00493C3D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CE50CD" w:rsidRDefault="00CE50CD" w:rsidP="00493C3D">
      <w:pPr>
        <w:keepNext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after="0" w:line="240" w:lineRule="auto"/>
        <w:ind w:left="453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3C3D" w:rsidRPr="00493C3D" w:rsidRDefault="00493C3D" w:rsidP="00493C3D">
      <w:pPr>
        <w:keepNext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after="0" w:line="240" w:lineRule="auto"/>
        <w:ind w:left="4536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3C3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  <w:t xml:space="preserve">    </w:t>
      </w:r>
      <w:r w:rsidRPr="00493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:rsidR="00493C3D" w:rsidRPr="00493C3D" w:rsidRDefault="00493C3D" w:rsidP="00493C3D">
      <w:pPr>
        <w:keepNext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after="0" w:line="240" w:lineRule="auto"/>
        <w:ind w:left="5245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493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Сумської міської ради «</w:t>
      </w:r>
      <w:r w:rsidRPr="00493C3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Про</w:t>
      </w:r>
      <w:r w:rsidRPr="00493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  затвердження програми «Відкритий     інформаційний простір Сумської міської            територіа</w:t>
      </w:r>
      <w:r w:rsidR="00D40C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льної громади» на 2022 рік</w:t>
      </w:r>
      <w:r w:rsidRPr="00493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» </w:t>
      </w:r>
    </w:p>
    <w:p w:rsidR="00493C3D" w:rsidRPr="00493C3D" w:rsidRDefault="009D4C01" w:rsidP="00493C3D">
      <w:pPr>
        <w:keepNext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after="0" w:line="240" w:lineRule="auto"/>
        <w:ind w:left="467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від 16 лютого 2022 року</w:t>
      </w:r>
      <w:r w:rsidR="00493C3D" w:rsidRPr="00493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2732-МР</w:t>
      </w:r>
    </w:p>
    <w:p w:rsidR="00493C3D" w:rsidRPr="00493C3D" w:rsidRDefault="00493C3D" w:rsidP="00493C3D">
      <w:pPr>
        <w:keepNext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after="0" w:line="240" w:lineRule="auto"/>
        <w:ind w:left="467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3C3D" w:rsidRPr="00493C3D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3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493C3D" w:rsidRPr="00493C3D" w:rsidRDefault="00493C3D" w:rsidP="0049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Програма «Відкритий інформаційний простір Сумської міської </w:t>
      </w:r>
    </w:p>
    <w:p w:rsidR="00493C3D" w:rsidRPr="00493C3D" w:rsidRDefault="00493C3D" w:rsidP="0049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територі</w:t>
      </w:r>
      <w:r w:rsidR="00D40C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альної громади» на 2022 рік</w:t>
      </w:r>
    </w:p>
    <w:p w:rsidR="00493C3D" w:rsidRPr="003B2AEE" w:rsidRDefault="00493C3D" w:rsidP="00493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493C3D" w:rsidRPr="00493C3D" w:rsidRDefault="00493C3D" w:rsidP="00493C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1. Загальна характеристика Програми </w:t>
      </w:r>
    </w:p>
    <w:p w:rsidR="00493C3D" w:rsidRPr="003B2AEE" w:rsidRDefault="00493C3D" w:rsidP="00493C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ru-RU"/>
        </w:rPr>
      </w:pPr>
    </w:p>
    <w:p w:rsidR="00493C3D" w:rsidRPr="00493C3D" w:rsidRDefault="00493C3D" w:rsidP="00C516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Програма «Відкритий інформаційний простір Сумської міської територіал</w:t>
      </w:r>
      <w:r w:rsidR="00D40C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ьної громади» на 2022 рік</w:t>
      </w: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 (надалі Програма) спрямована на підвищення рівня відкритості та прозорості діяльності органів місцевого самоврядування, інформування населення щодо актуальни</w:t>
      </w:r>
      <w:r w:rsidR="00D40C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 питань життєдіяльності міста.</w:t>
      </w:r>
    </w:p>
    <w:p w:rsidR="00493C3D" w:rsidRPr="003B2AEE" w:rsidRDefault="00493C3D" w:rsidP="00493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ru-RU"/>
        </w:rPr>
      </w:pPr>
    </w:p>
    <w:p w:rsidR="00493C3D" w:rsidRPr="00493C3D" w:rsidRDefault="00493C3D" w:rsidP="00493C3D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val="uk-UA"/>
        </w:rPr>
      </w:pPr>
      <w:r w:rsidRPr="00493C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Паспорт програми «Відкритий інформаційний простір </w:t>
      </w:r>
    </w:p>
    <w:p w:rsidR="00493C3D" w:rsidRPr="00493C3D" w:rsidRDefault="00493C3D" w:rsidP="00493C3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493C3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Сумської міської територіа</w:t>
      </w:r>
      <w:r w:rsidR="003B2AE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льної громади» на 2022 рік</w:t>
      </w:r>
    </w:p>
    <w:p w:rsidR="00493C3D" w:rsidRPr="003B2AEE" w:rsidRDefault="00493C3D" w:rsidP="00493C3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val="uk-UA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5700"/>
      </w:tblGrid>
      <w:tr w:rsidR="00493C3D" w:rsidRPr="00CE50CD" w:rsidTr="005141FC">
        <w:trPr>
          <w:trHeight w:val="345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3D" w:rsidRPr="00493C3D" w:rsidRDefault="00493C3D" w:rsidP="00493C3D">
            <w:pPr>
              <w:spacing w:after="0" w:line="240" w:lineRule="atLeast"/>
              <w:ind w:left="-11" w:hanging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1. Ініціатор розробки програми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3D" w:rsidRPr="00493C3D" w:rsidRDefault="00493C3D" w:rsidP="00493C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Департамент комунікацій та інформаційної політики Сумської міської ради (СМР)</w:t>
            </w:r>
          </w:p>
        </w:tc>
      </w:tr>
      <w:tr w:rsidR="00493C3D" w:rsidRPr="00CE50CD" w:rsidTr="005141FC">
        <w:trPr>
          <w:trHeight w:val="947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D" w:rsidRPr="00493C3D" w:rsidRDefault="00493C3D" w:rsidP="00493C3D">
            <w:pPr>
              <w:spacing w:after="0" w:line="240" w:lineRule="atLeast"/>
              <w:ind w:right="-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D" w:rsidRPr="00493C3D" w:rsidRDefault="00493C3D" w:rsidP="00493C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Сумської міської ради від 29 лютого 2012 року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</w:t>
            </w:r>
          </w:p>
        </w:tc>
      </w:tr>
      <w:tr w:rsidR="00493C3D" w:rsidRPr="00D40CF7" w:rsidTr="005141FC">
        <w:trPr>
          <w:trHeight w:val="567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D" w:rsidRPr="00493C3D" w:rsidRDefault="00493C3D" w:rsidP="00493C3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 Розробники програми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D" w:rsidRPr="00493C3D" w:rsidRDefault="00493C3D" w:rsidP="00493C3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Департамент комунікаці</w:t>
            </w:r>
            <w:r w:rsidR="00D4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й та інформаційної політики СМР</w:t>
            </w:r>
          </w:p>
        </w:tc>
      </w:tr>
      <w:tr w:rsidR="00493C3D" w:rsidRPr="00CE50CD" w:rsidTr="005141FC">
        <w:trPr>
          <w:trHeight w:val="567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D" w:rsidRPr="00493C3D" w:rsidRDefault="00493C3D" w:rsidP="00493C3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D" w:rsidRPr="00493C3D" w:rsidRDefault="00493C3D" w:rsidP="00D40CF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Відділ бухгалтерського обліку та звітності виконавчого комітету</w:t>
            </w:r>
            <w:r w:rsidR="00450B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(ВК)</w:t>
            </w: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СМР</w:t>
            </w:r>
          </w:p>
        </w:tc>
      </w:tr>
      <w:tr w:rsidR="00493C3D" w:rsidRPr="00493C3D" w:rsidTr="003B2AEE">
        <w:trPr>
          <w:trHeight w:val="359"/>
        </w:trPr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D" w:rsidRPr="00493C3D" w:rsidRDefault="00493C3D" w:rsidP="00493C3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5.Учасники програми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D" w:rsidRPr="00493C3D" w:rsidRDefault="00493C3D" w:rsidP="00D40CF7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Виконавчий комітет СМР</w:t>
            </w:r>
          </w:p>
        </w:tc>
      </w:tr>
      <w:tr w:rsidR="00493C3D" w:rsidRPr="00CE50CD" w:rsidTr="005141FC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3D" w:rsidRPr="00493C3D" w:rsidRDefault="00493C3D" w:rsidP="00493C3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6. Відповідальні виконавці </w:t>
            </w:r>
          </w:p>
          <w:p w:rsidR="00493C3D" w:rsidRPr="00493C3D" w:rsidRDefault="00493C3D" w:rsidP="00493C3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програми</w:t>
            </w:r>
          </w:p>
          <w:p w:rsidR="00493C3D" w:rsidRPr="00493C3D" w:rsidRDefault="00493C3D" w:rsidP="00493C3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C3D" w:rsidRPr="00493C3D" w:rsidRDefault="00493C3D" w:rsidP="002D5F4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Виконавчий комітет СМР (департамент комунікацій та інформа</w:t>
            </w:r>
            <w:r w:rsidR="00D40C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ційної політики, </w:t>
            </w: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відділ бухгалтерського обліку та звітності виконавчого комітету), </w:t>
            </w:r>
          </w:p>
        </w:tc>
      </w:tr>
      <w:tr w:rsidR="00493C3D" w:rsidRPr="00493C3D" w:rsidTr="005141FC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3D" w:rsidRPr="00493C3D" w:rsidRDefault="00493C3D" w:rsidP="00493C3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7. Термін реалізації програми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D" w:rsidRPr="00493C3D" w:rsidRDefault="00C516AF" w:rsidP="00493C3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2022 рік</w:t>
            </w:r>
          </w:p>
        </w:tc>
      </w:tr>
      <w:tr w:rsidR="00493C3D" w:rsidRPr="00493C3D" w:rsidTr="005141FC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3D" w:rsidRPr="00493C3D" w:rsidRDefault="00493C3D" w:rsidP="00493C3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8. Перелік бюджетів, які беруть участь у виконанні програми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D" w:rsidRPr="00493C3D" w:rsidRDefault="00493C3D" w:rsidP="00493C3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Бюджет </w:t>
            </w:r>
            <w:r w:rsidRPr="00493C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Сумської міської територіальної громади (далі – бюджет СМТГ)</w:t>
            </w: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, інші джерела, не заборонені чинним законодавством</w:t>
            </w:r>
          </w:p>
        </w:tc>
      </w:tr>
      <w:tr w:rsidR="00493C3D" w:rsidRPr="00493C3D" w:rsidTr="005141FC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D" w:rsidRPr="00493C3D" w:rsidRDefault="00493C3D" w:rsidP="00493C3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9. Загальний обсяг фінансових ресурсів, необхідних для реалізації програми, усього, </w:t>
            </w:r>
          </w:p>
          <w:p w:rsidR="00493C3D" w:rsidRPr="00493C3D" w:rsidRDefault="00493C3D" w:rsidP="00493C3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D" w:rsidRPr="004910E4" w:rsidRDefault="003B2AEE" w:rsidP="00493C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10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526</w:t>
            </w:r>
            <w:r w:rsidRPr="00491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,6</w:t>
            </w:r>
            <w:r w:rsidR="00493C3D" w:rsidRPr="004910E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93C3D" w:rsidRPr="004910E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тис. грн.</w:t>
            </w:r>
          </w:p>
          <w:p w:rsidR="00493C3D" w:rsidRPr="00493C3D" w:rsidRDefault="00493C3D" w:rsidP="00493C3D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3C3D" w:rsidRPr="00493C3D" w:rsidTr="005141FC">
        <w:tc>
          <w:tcPr>
            <w:tcW w:w="2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D" w:rsidRPr="00493C3D" w:rsidRDefault="00493C3D" w:rsidP="00493C3D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93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9.1. коштів </w:t>
            </w:r>
            <w:r w:rsidRPr="00493C3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бюджету СМТГ 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3D" w:rsidRPr="003B2AEE" w:rsidRDefault="003B2AEE" w:rsidP="002D5F4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526,6</w:t>
            </w:r>
            <w:r w:rsidR="00C117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тис. грн.</w:t>
            </w:r>
          </w:p>
        </w:tc>
      </w:tr>
    </w:tbl>
    <w:p w:rsidR="00493C3D" w:rsidRPr="00493C3D" w:rsidRDefault="00493C3D" w:rsidP="00493C3D">
      <w:pPr>
        <w:spacing w:after="0" w:line="240" w:lineRule="auto"/>
        <w:ind w:left="6200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93C3D" w:rsidRPr="00493C3D" w:rsidRDefault="00493C3D" w:rsidP="00493C3D">
      <w:pPr>
        <w:tabs>
          <w:tab w:val="left" w:pos="720"/>
          <w:tab w:val="left" w:pos="2340"/>
          <w:tab w:val="left" w:pos="241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93C3D" w:rsidRPr="00493C3D" w:rsidRDefault="00493C3D" w:rsidP="00493C3D">
      <w:pPr>
        <w:tabs>
          <w:tab w:val="left" w:pos="720"/>
          <w:tab w:val="left" w:pos="2340"/>
          <w:tab w:val="left" w:pos="241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  <w:r w:rsidRPr="0049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1.2. Ресурсне забезпечення Програми</w:t>
      </w:r>
    </w:p>
    <w:p w:rsidR="00EE3A7A" w:rsidRDefault="00EE3A7A" w:rsidP="00EE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Ресурсне забезпечення Програми, яке складається з коштів</w:t>
      </w: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бюджету </w:t>
      </w:r>
      <w:r w:rsidRPr="00493C3D">
        <w:rPr>
          <w:rFonts w:ascii="Times New Roman" w:eastAsia="Times New Roman" w:hAnsi="Times New Roman" w:cs="Times New Roman"/>
          <w:sz w:val="28"/>
          <w:szCs w:val="28"/>
          <w:lang w:val="uk-UA"/>
        </w:rPr>
        <w:t>СМТГ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викладене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додатку 1 до Програми.</w:t>
      </w:r>
    </w:p>
    <w:p w:rsidR="00EE3A7A" w:rsidRDefault="00EE3A7A" w:rsidP="00493C3D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93C3D" w:rsidRPr="00493C3D" w:rsidRDefault="00493C3D" w:rsidP="00C516AF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2. Визначення проблем, на розв’язання яких спрямована Програма </w:t>
      </w:r>
      <w:r w:rsidRPr="0049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Інформаційна діяльність органів місцевого самоврядування ґрунтується на таких принципах:</w:t>
      </w:r>
    </w:p>
    <w:p w:rsidR="00493C3D" w:rsidRPr="00493C3D" w:rsidRDefault="00493C3D" w:rsidP="0049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гарантованість права на інформацію;</w:t>
      </w:r>
    </w:p>
    <w:p w:rsidR="00493C3D" w:rsidRPr="00493C3D" w:rsidRDefault="00493C3D" w:rsidP="0049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відкритість, доступність інформації та свобода її обігу;</w:t>
      </w:r>
    </w:p>
    <w:p w:rsidR="00493C3D" w:rsidRPr="00493C3D" w:rsidRDefault="00493C3D" w:rsidP="0049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об'єктивність, вірогідність інформації;</w:t>
      </w:r>
    </w:p>
    <w:p w:rsidR="00493C3D" w:rsidRPr="00493C3D" w:rsidRDefault="00493C3D" w:rsidP="0049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повнота і точність інформації;</w:t>
      </w:r>
    </w:p>
    <w:p w:rsidR="00493C3D" w:rsidRPr="00493C3D" w:rsidRDefault="00493C3D" w:rsidP="00493C3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законність одержання, використання, поширення та зберігання інформації;</w:t>
      </w:r>
    </w:p>
    <w:p w:rsidR="00493C3D" w:rsidRPr="00493C3D" w:rsidRDefault="00493C3D" w:rsidP="0049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гласність;</w:t>
      </w:r>
    </w:p>
    <w:p w:rsidR="00493C3D" w:rsidRPr="00493C3D" w:rsidRDefault="00493C3D" w:rsidP="00493C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підзвітність та відповідальність перед територіальною громадою органів та посадових осіб місцевого самоврядування.</w:t>
      </w:r>
    </w:p>
    <w:p w:rsidR="000428AE" w:rsidRPr="00493C3D" w:rsidRDefault="000428AE" w:rsidP="000428AE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Програма спрямована на підвищення ефективності взаємодії</w:t>
      </w: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громадян, їхніх об'єднань, юридичних осіб з органами місце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вого самоврядування задля </w:t>
      </w: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плідної співпраці при прийнятті рішень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відкритості та прозорості</w:t>
      </w: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діяльності органів місцевого самоврядування при формуванні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 реалізації місцевої політики</w:t>
      </w: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493C3D" w:rsidRPr="009D4C01" w:rsidRDefault="00493C3D" w:rsidP="00493C3D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493C3D" w:rsidRPr="00493C3D" w:rsidRDefault="00493C3D" w:rsidP="00493C3D">
      <w:pPr>
        <w:tabs>
          <w:tab w:val="left" w:pos="0"/>
        </w:tabs>
        <w:spacing w:after="0" w:line="240" w:lineRule="auto"/>
        <w:ind w:firstLine="69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 Мета Програми</w:t>
      </w:r>
    </w:p>
    <w:p w:rsidR="00493C3D" w:rsidRPr="00493C3D" w:rsidRDefault="00493C3D" w:rsidP="00493C3D">
      <w:pPr>
        <w:tabs>
          <w:tab w:val="left" w:pos="0"/>
        </w:tabs>
        <w:spacing w:after="0" w:line="240" w:lineRule="auto"/>
        <w:ind w:firstLine="697"/>
        <w:jc w:val="both"/>
        <w:rPr>
          <w:rFonts w:ascii="Helvetica" w:eastAsia="Times New Roman" w:hAnsi="Helvetica" w:cs="Helvetica"/>
          <w:color w:val="333333"/>
          <w:sz w:val="21"/>
          <w:szCs w:val="21"/>
          <w:lang w:val="uk-UA" w:eastAsia="ru-RU"/>
        </w:rPr>
      </w:pP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Метою Програми є створення системи підвищення рівня забезпечення конституційних прав та інтересів територіальної громади міста в сфері інформації, взаємодія органів місцевого самоврядування міста з членами територіальної громади у вирішенні справ, які стосуються жителів міста, шляхом своєчасного озна</w:t>
      </w:r>
      <w:r w:rsidR="000428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йомлення з намірами та рішеннями</w:t>
      </w:r>
      <w:r w:rsidR="003B2AE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Сумської міської ради</w:t>
      </w:r>
      <w:r w:rsidR="000428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93C3D" w:rsidRPr="009D4C01" w:rsidRDefault="00493C3D" w:rsidP="00493C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93C3D" w:rsidRPr="00493C3D" w:rsidRDefault="00493C3D" w:rsidP="00493C3D">
      <w:pPr>
        <w:tabs>
          <w:tab w:val="left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Напрями діяльності (підпрограми) та завдання Програми</w:t>
      </w:r>
    </w:p>
    <w:p w:rsidR="00493C3D" w:rsidRDefault="00493C3D" w:rsidP="00493C3D">
      <w:pPr>
        <w:tabs>
          <w:tab w:val="left" w:pos="1080"/>
          <w:tab w:val="left" w:pos="1620"/>
          <w:tab w:val="num" w:pos="1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Напрями діяльності Програми, узгоджені з її метою, викладені у додатку 2 до Програми.</w:t>
      </w:r>
    </w:p>
    <w:p w:rsidR="000428AE" w:rsidRPr="009D4C01" w:rsidRDefault="000428AE" w:rsidP="00493C3D">
      <w:pPr>
        <w:tabs>
          <w:tab w:val="left" w:pos="1080"/>
          <w:tab w:val="left" w:pos="1620"/>
          <w:tab w:val="num" w:pos="16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493C3D" w:rsidRPr="00493C3D" w:rsidRDefault="00493C3D" w:rsidP="00493C3D">
      <w:pPr>
        <w:tabs>
          <w:tab w:val="left" w:pos="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 Завдання Програми</w:t>
      </w:r>
    </w:p>
    <w:p w:rsidR="00493C3D" w:rsidRPr="00493C3D" w:rsidRDefault="00493C3D" w:rsidP="00493C3D">
      <w:pPr>
        <w:tabs>
          <w:tab w:val="left" w:pos="1620"/>
          <w:tab w:val="left" w:pos="18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 завдань програми викладений у додатку 3 до Програми.</w:t>
      </w:r>
    </w:p>
    <w:p w:rsidR="00493C3D" w:rsidRPr="009D4C01" w:rsidRDefault="00493C3D" w:rsidP="00493C3D">
      <w:pPr>
        <w:tabs>
          <w:tab w:val="left" w:pos="1620"/>
          <w:tab w:val="left" w:pos="18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493C3D" w:rsidRPr="00493C3D" w:rsidRDefault="00493C3D" w:rsidP="00493C3D">
      <w:pPr>
        <w:tabs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 Критерії оцінки ефективності виконання заходів програми (результативні показники)</w:t>
      </w:r>
    </w:p>
    <w:p w:rsidR="00493C3D" w:rsidRPr="00493C3D" w:rsidRDefault="00493C3D" w:rsidP="00493C3D">
      <w:pPr>
        <w:tabs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Результативні показники Програми викладені у додатку 4 до Програми.</w:t>
      </w:r>
    </w:p>
    <w:p w:rsidR="000428AE" w:rsidRDefault="000428AE" w:rsidP="00493C3D">
      <w:pPr>
        <w:tabs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93C3D" w:rsidRPr="00493C3D" w:rsidRDefault="00493C3D" w:rsidP="00493C3D">
      <w:pPr>
        <w:tabs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7. Очікувані результати </w:t>
      </w:r>
    </w:p>
    <w:p w:rsidR="00493C3D" w:rsidRPr="00493C3D" w:rsidRDefault="00493C3D" w:rsidP="00493C3D">
      <w:pPr>
        <w:tabs>
          <w:tab w:val="left" w:pos="1620"/>
          <w:tab w:val="left" w:pos="18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Очікувані результати  від діяльності Програми викладені у додатку 5 до Програми.</w:t>
      </w:r>
    </w:p>
    <w:p w:rsidR="00493C3D" w:rsidRPr="00493C3D" w:rsidRDefault="00493C3D" w:rsidP="00493C3D">
      <w:pPr>
        <w:tabs>
          <w:tab w:val="left" w:pos="720"/>
          <w:tab w:val="left" w:pos="1620"/>
          <w:tab w:val="num" w:pos="1680"/>
          <w:tab w:val="left" w:pos="1800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3C3D" w:rsidRDefault="00493C3D" w:rsidP="00493C3D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C01" w:rsidRPr="00493C3D" w:rsidRDefault="009D4C01" w:rsidP="00493C3D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C3D" w:rsidRPr="00493C3D" w:rsidRDefault="002A71AF" w:rsidP="00493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Олександр ЛИСЕНКО</w:t>
      </w:r>
    </w:p>
    <w:p w:rsidR="00493C3D" w:rsidRPr="00493C3D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93C3D" w:rsidRPr="00493C3D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3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Кохан А.І.</w:t>
      </w:r>
    </w:p>
    <w:p w:rsidR="000428AE" w:rsidRDefault="00493C3D" w:rsidP="00493C3D">
      <w:pPr>
        <w:keepNext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3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</w:t>
      </w:r>
    </w:p>
    <w:p w:rsidR="00493C3D" w:rsidRPr="00493C3D" w:rsidRDefault="000428AE" w:rsidP="00493C3D">
      <w:pPr>
        <w:keepNext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</w:t>
      </w:r>
      <w:r w:rsidR="00493C3D" w:rsidRPr="00493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493C3D" w:rsidRPr="00493C3D" w:rsidRDefault="00493C3D" w:rsidP="00493C3D">
      <w:pPr>
        <w:widowControl w:val="0"/>
        <w:autoSpaceDE w:val="0"/>
        <w:autoSpaceDN w:val="0"/>
        <w:adjustRightInd w:val="0"/>
        <w:spacing w:after="0" w:line="240" w:lineRule="auto"/>
        <w:ind w:left="5529" w:right="-117" w:firstLine="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93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до програми «Відкритий інформаційний простір Сумської міської територіа</w:t>
      </w:r>
      <w:r w:rsidR="000428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льної громади» на 2022 рік</w:t>
      </w:r>
      <w:r w:rsidRPr="00493C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» </w:t>
      </w:r>
    </w:p>
    <w:p w:rsidR="00493C3D" w:rsidRPr="00493C3D" w:rsidRDefault="00493C3D" w:rsidP="00493C3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3C3D" w:rsidRPr="00493C3D" w:rsidRDefault="00493C3D" w:rsidP="00493C3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3C3D" w:rsidRPr="00493C3D" w:rsidRDefault="00493C3D" w:rsidP="00493C3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3C3D" w:rsidRPr="00493C3D" w:rsidRDefault="00493C3D" w:rsidP="00493C3D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93C3D" w:rsidRPr="00493C3D" w:rsidRDefault="00493C3D" w:rsidP="00493C3D">
      <w:pPr>
        <w:spacing w:after="0" w:line="240" w:lineRule="auto"/>
        <w:ind w:left="720" w:hanging="157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Ресурсне забезпечення програми «Відкритий інформаційний простір</w:t>
      </w:r>
    </w:p>
    <w:p w:rsidR="00493C3D" w:rsidRPr="00493C3D" w:rsidRDefault="00493C3D" w:rsidP="00493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</w:t>
      </w:r>
      <w:r w:rsidR="000428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громади» на 2022 рік</w:t>
      </w:r>
    </w:p>
    <w:p w:rsidR="00493C3D" w:rsidRPr="00493C3D" w:rsidRDefault="00493C3D" w:rsidP="00493C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C3D" w:rsidRPr="00493C3D" w:rsidRDefault="00493C3D" w:rsidP="00493C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 w:rsidR="00D63D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49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</w:p>
    <w:tbl>
      <w:tblPr>
        <w:tblW w:w="6096" w:type="dxa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3135"/>
      </w:tblGrid>
      <w:tr w:rsidR="00D63D0F" w:rsidRPr="00493C3D" w:rsidTr="00D63D0F">
        <w:trPr>
          <w:trHeight w:val="322"/>
        </w:trPr>
        <w:tc>
          <w:tcPr>
            <w:tcW w:w="2961" w:type="dxa"/>
            <w:vMerge w:val="restart"/>
            <w:vAlign w:val="center"/>
            <w:hideMark/>
          </w:tcPr>
          <w:p w:rsidR="00D63D0F" w:rsidRPr="00493C3D" w:rsidRDefault="00D63D0F" w:rsidP="0049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Обсяг коштів, які пропонується залучити на виконання програми</w:t>
            </w:r>
          </w:p>
        </w:tc>
        <w:tc>
          <w:tcPr>
            <w:tcW w:w="3135" w:type="dxa"/>
            <w:vMerge w:val="restart"/>
            <w:vAlign w:val="center"/>
            <w:hideMark/>
          </w:tcPr>
          <w:p w:rsidR="00D63D0F" w:rsidRPr="00493C3D" w:rsidRDefault="00D63D0F" w:rsidP="0049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 витрат на виконання програми</w:t>
            </w:r>
          </w:p>
        </w:tc>
      </w:tr>
      <w:tr w:rsidR="00D63D0F" w:rsidRPr="00493C3D" w:rsidTr="00D63D0F">
        <w:trPr>
          <w:trHeight w:val="450"/>
        </w:trPr>
        <w:tc>
          <w:tcPr>
            <w:tcW w:w="2961" w:type="dxa"/>
            <w:vMerge/>
            <w:vAlign w:val="center"/>
            <w:hideMark/>
          </w:tcPr>
          <w:p w:rsidR="00D63D0F" w:rsidRPr="00493C3D" w:rsidRDefault="00D63D0F" w:rsidP="0049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135" w:type="dxa"/>
            <w:vMerge/>
            <w:vAlign w:val="center"/>
            <w:hideMark/>
          </w:tcPr>
          <w:p w:rsidR="00D63D0F" w:rsidRPr="00493C3D" w:rsidRDefault="00D63D0F" w:rsidP="0049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63D0F" w:rsidRPr="00493C3D" w:rsidTr="00D63D0F">
        <w:tc>
          <w:tcPr>
            <w:tcW w:w="2961" w:type="dxa"/>
            <w:vAlign w:val="center"/>
            <w:hideMark/>
          </w:tcPr>
          <w:p w:rsidR="00D63D0F" w:rsidRPr="00493C3D" w:rsidRDefault="00D63D0F" w:rsidP="0049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Обсяг ресурсів, усього, у тому числі:</w:t>
            </w:r>
          </w:p>
        </w:tc>
        <w:tc>
          <w:tcPr>
            <w:tcW w:w="3135" w:type="dxa"/>
            <w:vAlign w:val="center"/>
          </w:tcPr>
          <w:p w:rsidR="00D63D0F" w:rsidRPr="00481547" w:rsidRDefault="00481547" w:rsidP="0049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526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,6</w:t>
            </w:r>
          </w:p>
        </w:tc>
      </w:tr>
      <w:tr w:rsidR="00D63D0F" w:rsidRPr="00493C3D" w:rsidTr="00D63D0F">
        <w:tc>
          <w:tcPr>
            <w:tcW w:w="2961" w:type="dxa"/>
            <w:vAlign w:val="center"/>
            <w:hideMark/>
          </w:tcPr>
          <w:p w:rsidR="00D63D0F" w:rsidRPr="00493C3D" w:rsidRDefault="00D63D0F" w:rsidP="0049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бюджет</w:t>
            </w:r>
          </w:p>
        </w:tc>
        <w:tc>
          <w:tcPr>
            <w:tcW w:w="3135" w:type="dxa"/>
            <w:vAlign w:val="center"/>
          </w:tcPr>
          <w:p w:rsidR="00D63D0F" w:rsidRPr="00493C3D" w:rsidRDefault="00D63D0F" w:rsidP="0049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</w:tr>
      <w:tr w:rsidR="00D63D0F" w:rsidRPr="00493C3D" w:rsidTr="00D63D0F">
        <w:tc>
          <w:tcPr>
            <w:tcW w:w="2961" w:type="dxa"/>
            <w:vAlign w:val="center"/>
            <w:hideMark/>
          </w:tcPr>
          <w:p w:rsidR="00D63D0F" w:rsidRPr="00493C3D" w:rsidRDefault="00D63D0F" w:rsidP="00493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обласний бюджет</w:t>
            </w:r>
          </w:p>
        </w:tc>
        <w:tc>
          <w:tcPr>
            <w:tcW w:w="3135" w:type="dxa"/>
            <w:vAlign w:val="center"/>
          </w:tcPr>
          <w:p w:rsidR="00D63D0F" w:rsidRPr="00493C3D" w:rsidRDefault="00D63D0F" w:rsidP="0049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-</w:t>
            </w:r>
          </w:p>
        </w:tc>
      </w:tr>
      <w:tr w:rsidR="00D63D0F" w:rsidRPr="00493C3D" w:rsidTr="00D63D0F">
        <w:tc>
          <w:tcPr>
            <w:tcW w:w="2961" w:type="dxa"/>
            <w:vAlign w:val="center"/>
            <w:hideMark/>
          </w:tcPr>
          <w:p w:rsidR="00D63D0F" w:rsidRPr="00493C3D" w:rsidRDefault="00D63D0F" w:rsidP="002D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 СМТГ</w:t>
            </w:r>
          </w:p>
        </w:tc>
        <w:tc>
          <w:tcPr>
            <w:tcW w:w="3135" w:type="dxa"/>
            <w:vAlign w:val="center"/>
          </w:tcPr>
          <w:p w:rsidR="00D63D0F" w:rsidRPr="00481547" w:rsidRDefault="00481547" w:rsidP="002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,6</w:t>
            </w:r>
          </w:p>
        </w:tc>
      </w:tr>
      <w:tr w:rsidR="00D63D0F" w:rsidRPr="00493C3D" w:rsidTr="00D63D0F">
        <w:tc>
          <w:tcPr>
            <w:tcW w:w="2961" w:type="dxa"/>
            <w:vAlign w:val="center"/>
            <w:hideMark/>
          </w:tcPr>
          <w:p w:rsidR="00D63D0F" w:rsidRPr="00493C3D" w:rsidRDefault="00D63D0F" w:rsidP="002D5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кошти небюджетних джерел</w:t>
            </w:r>
          </w:p>
        </w:tc>
        <w:tc>
          <w:tcPr>
            <w:tcW w:w="3135" w:type="dxa"/>
            <w:vAlign w:val="center"/>
          </w:tcPr>
          <w:p w:rsidR="00D63D0F" w:rsidRPr="00493C3D" w:rsidRDefault="00D63D0F" w:rsidP="002D5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93C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</w:t>
            </w:r>
          </w:p>
        </w:tc>
      </w:tr>
    </w:tbl>
    <w:p w:rsidR="00493C3D" w:rsidRPr="00493C3D" w:rsidRDefault="00493C3D" w:rsidP="00493C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C3D" w:rsidRPr="00493C3D" w:rsidRDefault="00493C3D" w:rsidP="00493C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3C3D" w:rsidRDefault="00493C3D" w:rsidP="00493C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C01" w:rsidRPr="00493C3D" w:rsidRDefault="009D4C01" w:rsidP="00493C3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493C3D" w:rsidRPr="00493C3D" w:rsidRDefault="00493C3D" w:rsidP="00493C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93C3D" w:rsidRPr="00493C3D" w:rsidRDefault="002A71AF" w:rsidP="00493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Олександр ЛИСЕНКО</w:t>
      </w:r>
      <w:r w:rsidR="00493C3D" w:rsidRPr="00493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493C3D" w:rsidRPr="00493C3D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493C3D" w:rsidRPr="00493C3D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493C3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Кохан А.І.</w:t>
      </w:r>
    </w:p>
    <w:p w:rsidR="00493C3D" w:rsidRPr="00493C3D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493C3D" w:rsidRPr="00493C3D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493C3D" w:rsidRPr="00493C3D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493C3D" w:rsidRPr="00493C3D" w:rsidRDefault="00493C3D" w:rsidP="00493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752433" w:rsidRDefault="00752433" w:rsidP="002D5F40"/>
    <w:sectPr w:rsidR="00752433" w:rsidSect="00C516AF">
      <w:pgSz w:w="11906" w:h="16838" w:code="9"/>
      <w:pgMar w:top="709" w:right="566" w:bottom="426" w:left="1701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92680"/>
    <w:multiLevelType w:val="multilevel"/>
    <w:tmpl w:val="79BA5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3D"/>
    <w:rsid w:val="000428AE"/>
    <w:rsid w:val="00124D39"/>
    <w:rsid w:val="001763B5"/>
    <w:rsid w:val="002A71AF"/>
    <w:rsid w:val="002D5F40"/>
    <w:rsid w:val="003B2AEE"/>
    <w:rsid w:val="00450B6F"/>
    <w:rsid w:val="00481547"/>
    <w:rsid w:val="004910E4"/>
    <w:rsid w:val="00493C3D"/>
    <w:rsid w:val="00574AFD"/>
    <w:rsid w:val="006332C0"/>
    <w:rsid w:val="00752433"/>
    <w:rsid w:val="009D071F"/>
    <w:rsid w:val="009D4C01"/>
    <w:rsid w:val="00B2108D"/>
    <w:rsid w:val="00BD69BC"/>
    <w:rsid w:val="00C1174F"/>
    <w:rsid w:val="00C516AF"/>
    <w:rsid w:val="00CC78F0"/>
    <w:rsid w:val="00CE50CD"/>
    <w:rsid w:val="00D37420"/>
    <w:rsid w:val="00D40CF7"/>
    <w:rsid w:val="00D63D0F"/>
    <w:rsid w:val="00E716D3"/>
    <w:rsid w:val="00EB47A5"/>
    <w:rsid w:val="00EE3A7A"/>
    <w:rsid w:val="00EE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485C"/>
  <w15:chartTrackingRefBased/>
  <w15:docId w15:val="{5F93EC39-1103-449E-836E-9BFFA614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53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mr.gov.ua/uk/miska-vlada/miska-rada/postijni-komisiji/163-komisia-zak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ED79A-9D85-45D0-BE98-2D6ADCEC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23</cp:revision>
  <cp:lastPrinted>2022-02-16T13:47:00Z</cp:lastPrinted>
  <dcterms:created xsi:type="dcterms:W3CDTF">2021-11-22T11:42:00Z</dcterms:created>
  <dcterms:modified xsi:type="dcterms:W3CDTF">2022-02-16T13:47:00Z</dcterms:modified>
</cp:coreProperties>
</file>