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DC66A8" w:rsidRPr="00327686" w:rsidTr="00F97B90">
        <w:trPr>
          <w:trHeight w:val="1122"/>
          <w:jc w:val="center"/>
        </w:trPr>
        <w:tc>
          <w:tcPr>
            <w:tcW w:w="4253" w:type="dxa"/>
          </w:tcPr>
          <w:p w:rsidR="00DC66A8" w:rsidRPr="00327686" w:rsidRDefault="00DC66A8" w:rsidP="00F97B90">
            <w:pPr>
              <w:pStyle w:val="a6"/>
              <w:tabs>
                <w:tab w:val="left" w:pos="2670"/>
              </w:tabs>
              <w:rPr>
                <w:lang w:val="uk-UA"/>
              </w:rPr>
            </w:pPr>
          </w:p>
          <w:p w:rsidR="00DC66A8" w:rsidRPr="00327686" w:rsidRDefault="00DC66A8" w:rsidP="00F97B90">
            <w:pPr>
              <w:pStyle w:val="a6"/>
              <w:rPr>
                <w:lang w:val="uk-UA"/>
              </w:rPr>
            </w:pPr>
          </w:p>
        </w:tc>
        <w:tc>
          <w:tcPr>
            <w:tcW w:w="1134" w:type="dxa"/>
          </w:tcPr>
          <w:p w:rsidR="00DC66A8" w:rsidRPr="00327686" w:rsidRDefault="00DC66A8" w:rsidP="00F97B90">
            <w:pPr>
              <w:pStyle w:val="a6"/>
              <w:tabs>
                <w:tab w:val="left" w:pos="180"/>
              </w:tabs>
              <w:jc w:val="center"/>
              <w:rPr>
                <w:sz w:val="12"/>
                <w:szCs w:val="12"/>
                <w:lang w:val="uk-UA"/>
              </w:rPr>
            </w:pPr>
            <w:r w:rsidRPr="00327686">
              <w:rPr>
                <w:noProof/>
                <w:sz w:val="12"/>
                <w:szCs w:val="12"/>
              </w:rPr>
              <w:drawing>
                <wp:anchor distT="0" distB="0" distL="114935" distR="114935" simplePos="0" relativeHeight="251659264" behindDoc="0" locked="0" layoutInCell="1" allowOverlap="1">
                  <wp:simplePos x="0" y="0"/>
                  <wp:positionH relativeFrom="page">
                    <wp:posOffset>137160</wp:posOffset>
                  </wp:positionH>
                  <wp:positionV relativeFrom="paragraph">
                    <wp:posOffset>-560070</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tcPr>
          <w:p w:rsidR="00DC66A8" w:rsidRPr="00327686" w:rsidRDefault="00DC66A8" w:rsidP="00F97B90">
            <w:pPr>
              <w:pStyle w:val="a6"/>
              <w:jc w:val="center"/>
              <w:rPr>
                <w:sz w:val="28"/>
                <w:szCs w:val="28"/>
                <w:lang w:val="uk-UA"/>
              </w:rPr>
            </w:pPr>
          </w:p>
        </w:tc>
      </w:tr>
    </w:tbl>
    <w:p w:rsidR="00DC66A8" w:rsidRPr="00327686" w:rsidRDefault="00DC66A8" w:rsidP="00DC66A8">
      <w:pPr>
        <w:jc w:val="center"/>
        <w:rPr>
          <w:sz w:val="36"/>
          <w:szCs w:val="36"/>
          <w:lang w:val="uk-UA"/>
        </w:rPr>
      </w:pPr>
      <w:r w:rsidRPr="00327686">
        <w:rPr>
          <w:smallCaps/>
          <w:sz w:val="36"/>
          <w:szCs w:val="36"/>
          <w:lang w:val="uk-UA"/>
        </w:rPr>
        <w:t>Сумська міська рада</w:t>
      </w:r>
    </w:p>
    <w:p w:rsidR="00DC66A8" w:rsidRPr="00327686" w:rsidRDefault="00DC66A8" w:rsidP="00DC66A8">
      <w:pPr>
        <w:jc w:val="center"/>
        <w:rPr>
          <w:b/>
          <w:sz w:val="12"/>
          <w:szCs w:val="12"/>
          <w:lang w:val="uk-UA"/>
        </w:rPr>
      </w:pPr>
      <w:r w:rsidRPr="00327686">
        <w:rPr>
          <w:sz w:val="28"/>
          <w:szCs w:val="28"/>
          <w:lang w:val="uk-UA"/>
        </w:rPr>
        <w:t xml:space="preserve">VІІІ СКЛИКАННЯ </w:t>
      </w:r>
      <w:r>
        <w:rPr>
          <w:sz w:val="28"/>
          <w:szCs w:val="28"/>
          <w:lang w:val="en-US"/>
        </w:rPr>
        <w:t>XXVIII</w:t>
      </w:r>
      <w:r w:rsidRPr="00327686">
        <w:rPr>
          <w:sz w:val="28"/>
          <w:szCs w:val="28"/>
          <w:lang w:val="uk-UA"/>
        </w:rPr>
        <w:t xml:space="preserve"> СЕСІЯ</w:t>
      </w:r>
    </w:p>
    <w:p w:rsidR="00DC66A8" w:rsidRPr="00E96656" w:rsidRDefault="00DC66A8" w:rsidP="00DC66A8">
      <w:pPr>
        <w:jc w:val="center"/>
        <w:rPr>
          <w:b/>
          <w:bCs/>
          <w:sz w:val="32"/>
          <w:szCs w:val="32"/>
          <w:lang w:val="uk-UA"/>
        </w:rPr>
      </w:pPr>
      <w:r w:rsidRPr="00E96656">
        <w:rPr>
          <w:b/>
          <w:bCs/>
          <w:sz w:val="32"/>
          <w:szCs w:val="32"/>
          <w:lang w:val="uk-UA"/>
        </w:rPr>
        <w:t>РІШЕННЯ</w:t>
      </w:r>
    </w:p>
    <w:p w:rsidR="00DC66A8" w:rsidRPr="00327686" w:rsidRDefault="00DC66A8" w:rsidP="00DC66A8">
      <w:pPr>
        <w:rPr>
          <w:sz w:val="28"/>
          <w:szCs w:val="28"/>
          <w:lang w:val="uk-UA"/>
        </w:rPr>
      </w:pPr>
    </w:p>
    <w:p w:rsidR="00DC66A8" w:rsidRPr="00327686" w:rsidRDefault="00DC66A8" w:rsidP="00DC66A8">
      <w:pPr>
        <w:widowControl w:val="0"/>
        <w:tabs>
          <w:tab w:val="left" w:pos="8447"/>
        </w:tabs>
        <w:autoSpaceDE w:val="0"/>
        <w:autoSpaceDN w:val="0"/>
        <w:adjustRightInd w:val="0"/>
        <w:jc w:val="both"/>
        <w:rPr>
          <w:sz w:val="28"/>
          <w:szCs w:val="28"/>
          <w:lang w:val="uk-UA"/>
        </w:rPr>
      </w:pPr>
      <w:r w:rsidRPr="00327686">
        <w:rPr>
          <w:sz w:val="28"/>
          <w:szCs w:val="28"/>
          <w:lang w:val="uk-UA"/>
        </w:rPr>
        <w:t>від</w:t>
      </w:r>
      <w:r w:rsidRPr="00DC66A8">
        <w:rPr>
          <w:sz w:val="28"/>
          <w:szCs w:val="28"/>
        </w:rPr>
        <w:t xml:space="preserve"> 28 </w:t>
      </w:r>
      <w:r>
        <w:rPr>
          <w:sz w:val="28"/>
          <w:szCs w:val="28"/>
          <w:lang w:val="uk-UA"/>
        </w:rPr>
        <w:t xml:space="preserve">вересня </w:t>
      </w:r>
      <w:r w:rsidRPr="00327686">
        <w:rPr>
          <w:sz w:val="28"/>
          <w:szCs w:val="28"/>
          <w:lang w:val="uk-UA"/>
        </w:rPr>
        <w:t xml:space="preserve">2022 року № </w:t>
      </w:r>
      <w:r>
        <w:rPr>
          <w:sz w:val="28"/>
          <w:szCs w:val="28"/>
          <w:lang w:val="uk-UA"/>
        </w:rPr>
        <w:t>3092</w:t>
      </w:r>
      <w:r w:rsidRPr="00327686">
        <w:rPr>
          <w:sz w:val="28"/>
          <w:szCs w:val="28"/>
          <w:lang w:val="uk-UA"/>
        </w:rPr>
        <w:t xml:space="preserve"> – МР</w:t>
      </w:r>
    </w:p>
    <w:p w:rsidR="00DC66A8" w:rsidRPr="00327686" w:rsidRDefault="00DC66A8" w:rsidP="00DC66A8">
      <w:pPr>
        <w:rPr>
          <w:sz w:val="28"/>
          <w:szCs w:val="28"/>
          <w:lang w:val="uk-UA"/>
        </w:rPr>
      </w:pPr>
      <w:r w:rsidRPr="00327686">
        <w:rPr>
          <w:sz w:val="28"/>
          <w:szCs w:val="28"/>
          <w:lang w:val="uk-UA"/>
        </w:rPr>
        <w:t>м. Суми</w:t>
      </w:r>
    </w:p>
    <w:p w:rsidR="00DC66A8" w:rsidRPr="00327686" w:rsidRDefault="00DC66A8" w:rsidP="00DC66A8">
      <w:pPr>
        <w:rPr>
          <w:sz w:val="28"/>
          <w:szCs w:val="28"/>
          <w:lang w:val="uk-UA"/>
        </w:rPr>
      </w:pPr>
    </w:p>
    <w:tbl>
      <w:tblPr>
        <w:tblW w:w="9845" w:type="dxa"/>
        <w:tblLayout w:type="fixed"/>
        <w:tblLook w:val="0000" w:firstRow="0" w:lastRow="0" w:firstColumn="0" w:lastColumn="0" w:noHBand="0" w:noVBand="0"/>
      </w:tblPr>
      <w:tblGrid>
        <w:gridCol w:w="5000"/>
        <w:gridCol w:w="4845"/>
      </w:tblGrid>
      <w:tr w:rsidR="00DC66A8" w:rsidRPr="00327686" w:rsidTr="00F97B90">
        <w:trPr>
          <w:trHeight w:val="721"/>
        </w:trPr>
        <w:tc>
          <w:tcPr>
            <w:tcW w:w="5000" w:type="dxa"/>
          </w:tcPr>
          <w:p w:rsidR="00DC66A8" w:rsidRPr="00327686" w:rsidRDefault="00DC66A8" w:rsidP="00F97B90">
            <w:pPr>
              <w:jc w:val="both"/>
              <w:rPr>
                <w:b/>
                <w:bCs/>
                <w:sz w:val="28"/>
                <w:szCs w:val="28"/>
                <w:lang w:val="uk-UA"/>
              </w:rPr>
            </w:pPr>
            <w:r w:rsidRPr="00327686">
              <w:rPr>
                <w:bCs/>
                <w:sz w:val="28"/>
                <w:szCs w:val="28"/>
                <w:lang w:val="uk-UA"/>
              </w:rPr>
              <w:t xml:space="preserve">Про хід виконання рішення Сумської міської ради </w:t>
            </w:r>
            <w:r w:rsidRPr="00327686">
              <w:rPr>
                <w:sz w:val="28"/>
                <w:lang w:val="uk-UA"/>
              </w:rPr>
              <w:t>від  26  січня 2022   року №  2705 - МР</w:t>
            </w:r>
            <w:r w:rsidRPr="00327686">
              <w:rPr>
                <w:bCs/>
                <w:sz w:val="28"/>
                <w:szCs w:val="28"/>
                <w:lang w:val="uk-UA"/>
              </w:rPr>
              <w:t xml:space="preserve"> «</w:t>
            </w:r>
            <w:r w:rsidRPr="00327686">
              <w:rPr>
                <w:sz w:val="28"/>
                <w:szCs w:val="28"/>
                <w:lang w:val="uk-UA"/>
              </w:rPr>
              <w:t>Про Програму економічного і соціального розвитку Сумської міської   територіальної громади на 2022 рік та основні напрями розвитку на   2023 - 2024 роки</w:t>
            </w:r>
            <w:r w:rsidRPr="00327686">
              <w:rPr>
                <w:bCs/>
                <w:sz w:val="28"/>
                <w:szCs w:val="28"/>
                <w:lang w:val="uk-UA"/>
              </w:rPr>
              <w:t>»,  за підсумками І півріччя 2022 року</w:t>
            </w:r>
          </w:p>
        </w:tc>
        <w:tc>
          <w:tcPr>
            <w:tcW w:w="4845" w:type="dxa"/>
          </w:tcPr>
          <w:p w:rsidR="00DC66A8" w:rsidRPr="00327686" w:rsidRDefault="00DC66A8" w:rsidP="00F97B90">
            <w:pPr>
              <w:rPr>
                <w:sz w:val="28"/>
                <w:szCs w:val="28"/>
                <w:lang w:val="uk-UA"/>
              </w:rPr>
            </w:pPr>
          </w:p>
        </w:tc>
      </w:tr>
    </w:tbl>
    <w:p w:rsidR="00DC66A8" w:rsidRPr="00327686" w:rsidRDefault="00DC66A8" w:rsidP="00DC66A8">
      <w:pPr>
        <w:jc w:val="both"/>
        <w:rPr>
          <w:b/>
          <w:bCs/>
          <w:sz w:val="28"/>
          <w:lang w:val="uk-UA"/>
        </w:rPr>
      </w:pPr>
      <w:r w:rsidRPr="00327686">
        <w:rPr>
          <w:b/>
          <w:bCs/>
          <w:sz w:val="28"/>
          <w:lang w:val="uk-UA"/>
        </w:rPr>
        <w:tab/>
      </w:r>
    </w:p>
    <w:p w:rsidR="00DC66A8" w:rsidRPr="00327686" w:rsidRDefault="00DC66A8" w:rsidP="00DC66A8">
      <w:pPr>
        <w:pStyle w:val="a3"/>
        <w:ind w:firstLine="720"/>
      </w:pPr>
      <w:r w:rsidRPr="00327686">
        <w:rPr>
          <w:szCs w:val="28"/>
        </w:rPr>
        <w:t xml:space="preserve">Враховуючи рішення Виконавчого комітету Сумської міської ради                         від </w:t>
      </w:r>
      <w:r>
        <w:rPr>
          <w:szCs w:val="28"/>
        </w:rPr>
        <w:t>26.08.2022</w:t>
      </w:r>
      <w:r w:rsidRPr="00327686">
        <w:rPr>
          <w:szCs w:val="28"/>
        </w:rPr>
        <w:t xml:space="preserve"> № </w:t>
      </w:r>
      <w:r>
        <w:rPr>
          <w:szCs w:val="28"/>
        </w:rPr>
        <w:t>353</w:t>
      </w:r>
      <w:r w:rsidRPr="00327686">
        <w:rPr>
          <w:szCs w:val="28"/>
        </w:rPr>
        <w:t xml:space="preserve"> «Про внесення на розгляд Сумської міської ради питання «</w:t>
      </w:r>
      <w:r w:rsidRPr="00327686">
        <w:rPr>
          <w:bCs/>
          <w:szCs w:val="28"/>
        </w:rPr>
        <w:t xml:space="preserve">Про хід виконання рішення Сумської міської ради від 26 січня 2022 року </w:t>
      </w:r>
      <w:r>
        <w:rPr>
          <w:bCs/>
          <w:szCs w:val="28"/>
        </w:rPr>
        <w:t xml:space="preserve">                      </w:t>
      </w:r>
      <w:r w:rsidRPr="00327686">
        <w:rPr>
          <w:bCs/>
          <w:szCs w:val="28"/>
        </w:rPr>
        <w:t>№ 2705 – МР «Про Програму економічного і соціального розвитку Сумської міської   територіальної громади на 2022 рік та основні напрями розвитку на 2023 - 2024 роки», за підсумками І півріччя 2022 року</w:t>
      </w:r>
      <w:r w:rsidRPr="00327686">
        <w:rPr>
          <w:szCs w:val="28"/>
        </w:rPr>
        <w:t>», к</w:t>
      </w:r>
      <w:r w:rsidRPr="00327686">
        <w:t xml:space="preserve">еруючись статтею 25 Закону України «Про місцеве самоврядування в Україні», </w:t>
      </w:r>
      <w:r w:rsidRPr="00327686">
        <w:rPr>
          <w:b/>
          <w:bCs/>
        </w:rPr>
        <w:t>Сумська  міська рада</w:t>
      </w:r>
      <w:r w:rsidRPr="00327686">
        <w:t xml:space="preserve"> </w:t>
      </w:r>
    </w:p>
    <w:p w:rsidR="00DC66A8" w:rsidRPr="00327686" w:rsidRDefault="00DC66A8" w:rsidP="00DC66A8">
      <w:pPr>
        <w:pStyle w:val="a3"/>
        <w:jc w:val="left"/>
        <w:rPr>
          <w:b/>
          <w:bCs/>
        </w:rPr>
      </w:pPr>
    </w:p>
    <w:p w:rsidR="00DC66A8" w:rsidRPr="00327686" w:rsidRDefault="00DC66A8" w:rsidP="00DC66A8">
      <w:pPr>
        <w:pStyle w:val="a3"/>
        <w:ind w:firstLine="720"/>
        <w:jc w:val="center"/>
        <w:rPr>
          <w:b/>
          <w:bCs/>
          <w:szCs w:val="28"/>
        </w:rPr>
      </w:pPr>
      <w:r w:rsidRPr="00327686">
        <w:rPr>
          <w:b/>
          <w:bCs/>
          <w:szCs w:val="28"/>
        </w:rPr>
        <w:t>ВИРІШИЛА:</w:t>
      </w:r>
    </w:p>
    <w:p w:rsidR="00DC66A8" w:rsidRPr="00327686" w:rsidRDefault="00DC66A8" w:rsidP="00DC66A8">
      <w:pPr>
        <w:pStyle w:val="a3"/>
        <w:ind w:firstLine="720"/>
        <w:jc w:val="center"/>
        <w:rPr>
          <w:b/>
          <w:bCs/>
        </w:rPr>
      </w:pPr>
    </w:p>
    <w:tbl>
      <w:tblPr>
        <w:tblW w:w="9567" w:type="dxa"/>
        <w:tblLayout w:type="fixed"/>
        <w:tblLook w:val="01E0" w:firstRow="1" w:lastRow="1" w:firstColumn="1" w:lastColumn="1" w:noHBand="0" w:noVBand="0"/>
      </w:tblPr>
      <w:tblGrid>
        <w:gridCol w:w="9567"/>
      </w:tblGrid>
      <w:tr w:rsidR="00DC66A8" w:rsidRPr="00327686" w:rsidTr="00F97B90">
        <w:tc>
          <w:tcPr>
            <w:tcW w:w="9441" w:type="dxa"/>
          </w:tcPr>
          <w:p w:rsidR="00DC66A8" w:rsidRPr="00327686" w:rsidRDefault="00DC66A8" w:rsidP="00F97B90">
            <w:pPr>
              <w:tabs>
                <w:tab w:val="left" w:pos="570"/>
                <w:tab w:val="left" w:pos="684"/>
                <w:tab w:val="left" w:pos="1560"/>
              </w:tabs>
              <w:ind w:firstLine="720"/>
              <w:jc w:val="both"/>
              <w:rPr>
                <w:sz w:val="28"/>
                <w:lang w:val="uk-UA"/>
              </w:rPr>
            </w:pPr>
            <w:r w:rsidRPr="00327686">
              <w:rPr>
                <w:bCs/>
                <w:sz w:val="28"/>
                <w:szCs w:val="28"/>
                <w:lang w:val="uk-UA"/>
              </w:rPr>
              <w:t xml:space="preserve">1. </w:t>
            </w:r>
            <w:r w:rsidRPr="00327686">
              <w:rPr>
                <w:sz w:val="28"/>
                <w:lang w:val="uk-UA"/>
              </w:rPr>
              <w:t xml:space="preserve">Інформацію директора Департаменту фінансів, економіки та інвестицій Сумської міської ради (Липова С.А.) </w:t>
            </w:r>
            <w:r w:rsidRPr="00327686">
              <w:rPr>
                <w:bCs/>
                <w:sz w:val="28"/>
                <w:szCs w:val="28"/>
                <w:lang w:val="uk-UA"/>
              </w:rPr>
              <w:t xml:space="preserve">про хід виконання рішення Сумської міської ради </w:t>
            </w:r>
            <w:r w:rsidRPr="00327686">
              <w:rPr>
                <w:sz w:val="28"/>
                <w:lang w:val="uk-UA"/>
              </w:rPr>
              <w:t>від 26 січня 2022 року №  2705 - МР</w:t>
            </w:r>
            <w:r w:rsidRPr="00327686">
              <w:rPr>
                <w:bCs/>
                <w:sz w:val="28"/>
                <w:szCs w:val="28"/>
                <w:lang w:val="uk-UA"/>
              </w:rPr>
              <w:t xml:space="preserve"> «</w:t>
            </w:r>
            <w:r w:rsidRPr="00327686">
              <w:rPr>
                <w:sz w:val="28"/>
                <w:szCs w:val="28"/>
                <w:lang w:val="uk-UA"/>
              </w:rPr>
              <w:t>Про Програму економічного і соціального розвитку Сумської міської територіальної громади на 2022 рік та основні напрями розвитку на 2023 - 2024 роки</w:t>
            </w:r>
            <w:r w:rsidRPr="00327686">
              <w:rPr>
                <w:bCs/>
                <w:sz w:val="28"/>
                <w:szCs w:val="28"/>
                <w:lang w:val="uk-UA"/>
              </w:rPr>
              <w:t>»,  за підсумками І півріччя 2022 року</w:t>
            </w:r>
            <w:r w:rsidRPr="00327686">
              <w:rPr>
                <w:sz w:val="28"/>
                <w:lang w:val="uk-UA"/>
              </w:rPr>
              <w:t xml:space="preserve"> взяти до відома (додається).</w:t>
            </w:r>
          </w:p>
        </w:tc>
      </w:tr>
      <w:tr w:rsidR="00DC66A8" w:rsidRPr="00327686" w:rsidTr="00F97B90">
        <w:tc>
          <w:tcPr>
            <w:tcW w:w="9441" w:type="dxa"/>
          </w:tcPr>
          <w:p w:rsidR="00DC66A8" w:rsidRPr="00327686" w:rsidRDefault="00DC66A8" w:rsidP="00F97B90">
            <w:pPr>
              <w:widowControl w:val="0"/>
              <w:autoSpaceDE w:val="0"/>
              <w:autoSpaceDN w:val="0"/>
              <w:adjustRightInd w:val="0"/>
              <w:ind w:firstLine="720"/>
              <w:jc w:val="both"/>
              <w:rPr>
                <w:bCs/>
                <w:sz w:val="28"/>
                <w:szCs w:val="28"/>
                <w:lang w:val="uk-UA"/>
              </w:rPr>
            </w:pPr>
          </w:p>
          <w:p w:rsidR="00DC66A8" w:rsidRPr="00327686" w:rsidRDefault="00DC66A8" w:rsidP="00F97B90">
            <w:pPr>
              <w:widowControl w:val="0"/>
              <w:autoSpaceDE w:val="0"/>
              <w:autoSpaceDN w:val="0"/>
              <w:adjustRightInd w:val="0"/>
              <w:ind w:firstLine="720"/>
              <w:jc w:val="both"/>
              <w:rPr>
                <w:bCs/>
                <w:sz w:val="28"/>
                <w:szCs w:val="28"/>
                <w:lang w:val="uk-UA"/>
              </w:rPr>
            </w:pPr>
            <w:r w:rsidRPr="00327686">
              <w:rPr>
                <w:bCs/>
                <w:sz w:val="28"/>
                <w:szCs w:val="28"/>
                <w:lang w:val="uk-UA"/>
              </w:rPr>
              <w:t>2. Керівникам виконавчих органів та комунальних підприємств Сумської міської ради, не зважаючи на складну ситуацію в державі, введення воєнного стану через військову агресію російської федерації, проводити відповідну роботу щодо сприяння виконанню заходів з реалізації Програми економічного і с</w:t>
            </w:r>
            <w:r w:rsidRPr="00327686">
              <w:rPr>
                <w:bCs/>
                <w:sz w:val="28"/>
                <w:szCs w:val="28"/>
                <w:lang w:val="uk-UA"/>
              </w:rPr>
              <w:t>о</w:t>
            </w:r>
            <w:r w:rsidRPr="00327686">
              <w:rPr>
                <w:bCs/>
                <w:sz w:val="28"/>
                <w:szCs w:val="28"/>
                <w:lang w:val="uk-UA"/>
              </w:rPr>
              <w:t>ціального розвитку Сумської міської  територіальної громади на  2022 рік.</w:t>
            </w:r>
          </w:p>
          <w:p w:rsidR="00DC66A8" w:rsidRPr="00327686" w:rsidRDefault="00DC66A8" w:rsidP="00F97B90">
            <w:pPr>
              <w:widowControl w:val="0"/>
              <w:autoSpaceDE w:val="0"/>
              <w:autoSpaceDN w:val="0"/>
              <w:adjustRightInd w:val="0"/>
              <w:ind w:firstLine="720"/>
              <w:jc w:val="both"/>
              <w:rPr>
                <w:bCs/>
                <w:sz w:val="28"/>
                <w:szCs w:val="28"/>
                <w:lang w:val="uk-UA"/>
              </w:rPr>
            </w:pPr>
          </w:p>
          <w:p w:rsidR="00DC66A8" w:rsidRPr="00327686" w:rsidRDefault="00DC66A8" w:rsidP="00F97B90">
            <w:pPr>
              <w:widowControl w:val="0"/>
              <w:autoSpaceDE w:val="0"/>
              <w:autoSpaceDN w:val="0"/>
              <w:adjustRightInd w:val="0"/>
              <w:ind w:firstLine="720"/>
              <w:jc w:val="both"/>
              <w:rPr>
                <w:bCs/>
                <w:sz w:val="28"/>
                <w:szCs w:val="28"/>
                <w:lang w:val="uk-UA"/>
              </w:rPr>
            </w:pPr>
          </w:p>
          <w:p w:rsidR="00DC66A8" w:rsidRDefault="00DC66A8" w:rsidP="00F97B90">
            <w:pPr>
              <w:widowControl w:val="0"/>
              <w:autoSpaceDE w:val="0"/>
              <w:autoSpaceDN w:val="0"/>
              <w:adjustRightInd w:val="0"/>
              <w:ind w:firstLine="720"/>
              <w:jc w:val="both"/>
              <w:rPr>
                <w:bCs/>
                <w:sz w:val="28"/>
                <w:szCs w:val="28"/>
                <w:lang w:val="uk-UA"/>
              </w:rPr>
            </w:pPr>
          </w:p>
          <w:p w:rsidR="00DC66A8" w:rsidRPr="00327686" w:rsidRDefault="00DC66A8" w:rsidP="00F97B90">
            <w:pPr>
              <w:widowControl w:val="0"/>
              <w:autoSpaceDE w:val="0"/>
              <w:autoSpaceDN w:val="0"/>
              <w:adjustRightInd w:val="0"/>
              <w:ind w:firstLine="720"/>
              <w:jc w:val="both"/>
              <w:rPr>
                <w:bCs/>
                <w:sz w:val="28"/>
                <w:szCs w:val="28"/>
                <w:lang w:val="uk-UA"/>
              </w:rPr>
            </w:pPr>
            <w:r w:rsidRPr="00327686">
              <w:rPr>
                <w:bCs/>
                <w:sz w:val="28"/>
                <w:szCs w:val="28"/>
                <w:lang w:val="uk-UA"/>
              </w:rPr>
              <w:t>3. Організацію виконання даного рішення покласти на секретаря міської ради, першого заступника міського голови, заступників міського голови з питань діяльності виконавчих органів ради, керуючого справами виконавчого комітету згідно з розподілом обов’язків.</w:t>
            </w:r>
          </w:p>
          <w:p w:rsidR="00DC66A8" w:rsidRPr="00327686" w:rsidRDefault="00DC66A8" w:rsidP="00F97B90">
            <w:pPr>
              <w:widowControl w:val="0"/>
              <w:autoSpaceDE w:val="0"/>
              <w:autoSpaceDN w:val="0"/>
              <w:adjustRightInd w:val="0"/>
              <w:rPr>
                <w:sz w:val="28"/>
                <w:szCs w:val="28"/>
                <w:lang w:val="uk-UA"/>
              </w:rPr>
            </w:pPr>
          </w:p>
          <w:p w:rsidR="00DC66A8" w:rsidRPr="00327686" w:rsidRDefault="00DC66A8" w:rsidP="00F97B90">
            <w:pPr>
              <w:widowControl w:val="0"/>
              <w:autoSpaceDE w:val="0"/>
              <w:autoSpaceDN w:val="0"/>
              <w:adjustRightInd w:val="0"/>
              <w:rPr>
                <w:sz w:val="28"/>
                <w:szCs w:val="28"/>
                <w:lang w:val="uk-UA"/>
              </w:rPr>
            </w:pPr>
          </w:p>
          <w:p w:rsidR="00DC66A8" w:rsidRPr="00327686" w:rsidRDefault="00DC66A8" w:rsidP="00F97B90">
            <w:pPr>
              <w:widowControl w:val="0"/>
              <w:autoSpaceDE w:val="0"/>
              <w:autoSpaceDN w:val="0"/>
              <w:adjustRightInd w:val="0"/>
              <w:rPr>
                <w:sz w:val="28"/>
                <w:szCs w:val="28"/>
                <w:lang w:val="uk-UA"/>
              </w:rPr>
            </w:pPr>
          </w:p>
          <w:p w:rsidR="00DC66A8" w:rsidRPr="00327686" w:rsidRDefault="00DC66A8" w:rsidP="00F97B90">
            <w:pPr>
              <w:widowControl w:val="0"/>
              <w:autoSpaceDE w:val="0"/>
              <w:autoSpaceDN w:val="0"/>
              <w:adjustRightInd w:val="0"/>
              <w:rPr>
                <w:sz w:val="28"/>
                <w:szCs w:val="28"/>
                <w:lang w:val="uk-UA"/>
              </w:rPr>
            </w:pPr>
          </w:p>
        </w:tc>
      </w:tr>
      <w:tr w:rsidR="00DC66A8" w:rsidRPr="00327686" w:rsidTr="00F97B90">
        <w:tc>
          <w:tcPr>
            <w:tcW w:w="9441" w:type="dxa"/>
          </w:tcPr>
          <w:p w:rsidR="00DC66A8" w:rsidRPr="00327686" w:rsidRDefault="00DC66A8" w:rsidP="00F97B90">
            <w:pPr>
              <w:widowControl w:val="0"/>
              <w:tabs>
                <w:tab w:val="left" w:pos="566"/>
              </w:tabs>
              <w:autoSpaceDE w:val="0"/>
              <w:autoSpaceDN w:val="0"/>
              <w:adjustRightInd w:val="0"/>
              <w:rPr>
                <w:sz w:val="28"/>
                <w:szCs w:val="28"/>
                <w:lang w:val="uk-UA"/>
              </w:rPr>
            </w:pPr>
            <w:r w:rsidRPr="00327686">
              <w:rPr>
                <w:sz w:val="28"/>
                <w:szCs w:val="28"/>
                <w:lang w:val="uk-UA"/>
              </w:rPr>
              <w:lastRenderedPageBreak/>
              <w:t>С</w:t>
            </w:r>
            <w:r>
              <w:rPr>
                <w:sz w:val="28"/>
                <w:szCs w:val="28"/>
                <w:lang w:val="uk-UA"/>
              </w:rPr>
              <w:t>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w:t>
            </w:r>
            <w:r w:rsidRPr="00327686">
              <w:rPr>
                <w:sz w:val="28"/>
                <w:szCs w:val="28"/>
                <w:lang w:val="uk-UA"/>
              </w:rPr>
              <w:t xml:space="preserve"> </w:t>
            </w:r>
            <w:r>
              <w:rPr>
                <w:sz w:val="28"/>
                <w:szCs w:val="28"/>
                <w:lang w:val="uk-UA"/>
              </w:rPr>
              <w:t>ЛИСЕНКО</w:t>
            </w:r>
          </w:p>
        </w:tc>
      </w:tr>
    </w:tbl>
    <w:p w:rsidR="00DC66A8" w:rsidRDefault="00DC66A8" w:rsidP="00DC66A8">
      <w:pPr>
        <w:widowControl w:val="0"/>
        <w:tabs>
          <w:tab w:val="left" w:pos="566"/>
        </w:tabs>
        <w:autoSpaceDE w:val="0"/>
        <w:autoSpaceDN w:val="0"/>
        <w:adjustRightInd w:val="0"/>
        <w:rPr>
          <w:sz w:val="28"/>
          <w:szCs w:val="28"/>
          <w:lang w:val="uk-UA"/>
        </w:rPr>
      </w:pPr>
    </w:p>
    <w:p w:rsidR="00DC66A8" w:rsidRPr="00327686" w:rsidRDefault="00DC66A8" w:rsidP="00DC66A8">
      <w:pPr>
        <w:widowControl w:val="0"/>
        <w:tabs>
          <w:tab w:val="left" w:pos="566"/>
        </w:tabs>
        <w:autoSpaceDE w:val="0"/>
        <w:autoSpaceDN w:val="0"/>
        <w:adjustRightInd w:val="0"/>
        <w:rPr>
          <w:sz w:val="28"/>
          <w:szCs w:val="28"/>
          <w:lang w:val="uk-UA"/>
        </w:rPr>
      </w:pPr>
    </w:p>
    <w:p w:rsidR="00DC66A8" w:rsidRPr="00327686" w:rsidRDefault="00DC66A8" w:rsidP="00DC66A8">
      <w:pPr>
        <w:widowControl w:val="0"/>
        <w:tabs>
          <w:tab w:val="left" w:pos="566"/>
        </w:tabs>
        <w:autoSpaceDE w:val="0"/>
        <w:autoSpaceDN w:val="0"/>
        <w:adjustRightInd w:val="0"/>
        <w:rPr>
          <w:bCs/>
          <w:sz w:val="20"/>
          <w:szCs w:val="20"/>
          <w:lang w:val="uk-UA"/>
        </w:rPr>
      </w:pPr>
      <w:r w:rsidRPr="00327686">
        <w:rPr>
          <w:sz w:val="20"/>
          <w:szCs w:val="20"/>
          <w:lang w:val="uk-UA"/>
        </w:rPr>
        <w:t xml:space="preserve">Виконавець: </w:t>
      </w:r>
      <w:r>
        <w:rPr>
          <w:sz w:val="20"/>
          <w:szCs w:val="20"/>
          <w:lang w:val="uk-UA"/>
        </w:rPr>
        <w:t>Липова С.А.</w:t>
      </w:r>
    </w:p>
    <w:p w:rsidR="00DC66A8" w:rsidRPr="00327686" w:rsidRDefault="00DC66A8" w:rsidP="00DC66A8">
      <w:pPr>
        <w:widowControl w:val="0"/>
        <w:tabs>
          <w:tab w:val="left" w:pos="566"/>
        </w:tabs>
        <w:autoSpaceDE w:val="0"/>
        <w:autoSpaceDN w:val="0"/>
        <w:adjustRightInd w:val="0"/>
        <w:rPr>
          <w:sz w:val="20"/>
          <w:szCs w:val="20"/>
          <w:lang w:val="uk-UA"/>
        </w:rPr>
      </w:pPr>
    </w:p>
    <w:p w:rsidR="00DC66A8" w:rsidRPr="00327686" w:rsidRDefault="00DC66A8" w:rsidP="00DC66A8">
      <w:pPr>
        <w:widowControl w:val="0"/>
        <w:tabs>
          <w:tab w:val="left" w:pos="566"/>
        </w:tabs>
        <w:autoSpaceDE w:val="0"/>
        <w:autoSpaceDN w:val="0"/>
        <w:adjustRightInd w:val="0"/>
        <w:rPr>
          <w:sz w:val="20"/>
          <w:szCs w:val="20"/>
          <w:lang w:val="uk-UA"/>
        </w:rPr>
      </w:pPr>
    </w:p>
    <w:p w:rsidR="00DC66A8" w:rsidRPr="00327686" w:rsidRDefault="00DC66A8" w:rsidP="00DC66A8">
      <w:pPr>
        <w:widowControl w:val="0"/>
        <w:tabs>
          <w:tab w:val="left" w:pos="566"/>
        </w:tabs>
        <w:autoSpaceDE w:val="0"/>
        <w:autoSpaceDN w:val="0"/>
        <w:adjustRightInd w:val="0"/>
        <w:rPr>
          <w:sz w:val="20"/>
          <w:szCs w:val="20"/>
          <w:lang w:val="uk-UA"/>
        </w:rPr>
      </w:pPr>
      <w:r w:rsidRPr="00327686">
        <w:rPr>
          <w:sz w:val="20"/>
          <w:szCs w:val="20"/>
          <w:lang w:val="uk-UA"/>
        </w:rPr>
        <w:t>___________</w:t>
      </w:r>
    </w:p>
    <w:p w:rsidR="00DC66A8" w:rsidRPr="00327686" w:rsidRDefault="00DC66A8" w:rsidP="00DC66A8">
      <w:pPr>
        <w:widowControl w:val="0"/>
        <w:tabs>
          <w:tab w:val="left" w:pos="566"/>
        </w:tabs>
        <w:autoSpaceDE w:val="0"/>
        <w:autoSpaceDN w:val="0"/>
        <w:adjustRightInd w:val="0"/>
        <w:rPr>
          <w:sz w:val="20"/>
          <w:szCs w:val="20"/>
          <w:lang w:val="uk-UA"/>
        </w:rPr>
      </w:pPr>
    </w:p>
    <w:p w:rsidR="00DC66A8" w:rsidRPr="00327686" w:rsidRDefault="00DC66A8" w:rsidP="00DC66A8">
      <w:pPr>
        <w:widowControl w:val="0"/>
        <w:tabs>
          <w:tab w:val="left" w:pos="566"/>
        </w:tabs>
        <w:autoSpaceDE w:val="0"/>
        <w:autoSpaceDN w:val="0"/>
        <w:adjustRightInd w:val="0"/>
        <w:ind w:firstLine="696"/>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DC66A8" w:rsidRPr="00327686" w:rsidRDefault="00DC66A8" w:rsidP="00DC66A8">
      <w:pPr>
        <w:widowControl w:val="0"/>
        <w:tabs>
          <w:tab w:val="left" w:pos="566"/>
        </w:tabs>
        <w:autoSpaceDE w:val="0"/>
        <w:autoSpaceDN w:val="0"/>
        <w:adjustRightInd w:val="0"/>
        <w:jc w:val="both"/>
        <w:rPr>
          <w:bCs/>
          <w:sz w:val="20"/>
          <w:szCs w:val="20"/>
          <w:lang w:val="uk-UA"/>
        </w:rPr>
      </w:pPr>
    </w:p>
    <w:p w:rsidR="006801A9" w:rsidRDefault="00DC66A8">
      <w:bookmarkStart w:id="0" w:name="_GoBack"/>
      <w:bookmarkEnd w:id="0"/>
    </w:p>
    <w:sectPr w:rsidR="00680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A8"/>
    <w:rsid w:val="003E4FAC"/>
    <w:rsid w:val="00884663"/>
    <w:rsid w:val="00DC6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A5E8C-623D-49A7-B9BD-492E8DC6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6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4"/>
    <w:rsid w:val="00DC66A8"/>
    <w:pPr>
      <w:tabs>
        <w:tab w:val="left" w:pos="1560"/>
      </w:tabs>
      <w:jc w:val="both"/>
    </w:pPr>
    <w:rPr>
      <w:sz w:val="28"/>
      <w:lang w:val="uk-UA"/>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3"/>
    <w:rsid w:val="00DC66A8"/>
    <w:rPr>
      <w:rFonts w:ascii="Times New Roman" w:eastAsia="Times New Roman" w:hAnsi="Times New Roman" w:cs="Times New Roman"/>
      <w:sz w:val="28"/>
      <w:szCs w:val="24"/>
      <w:lang w:val="uk-UA" w:eastAsia="ru-RU"/>
    </w:rPr>
  </w:style>
  <w:style w:type="paragraph" w:customStyle="1" w:styleId="a5">
    <w:name w:val=" Знак Знак"/>
    <w:basedOn w:val="a"/>
    <w:rsid w:val="00DC66A8"/>
    <w:rPr>
      <w:rFonts w:ascii="Verdana" w:hAnsi="Verdana" w:cs="Verdana"/>
      <w:sz w:val="20"/>
      <w:szCs w:val="20"/>
      <w:lang w:val="en-US" w:eastAsia="en-US"/>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C66A8"/>
    <w:pPr>
      <w:widowControl w:val="0"/>
      <w:tabs>
        <w:tab w:val="center" w:pos="4677"/>
        <w:tab w:val="right" w:pos="9355"/>
      </w:tabs>
      <w:autoSpaceDE w:val="0"/>
      <w:autoSpaceDN w:val="0"/>
      <w:adjustRightInd w:val="0"/>
    </w:pPr>
    <w:rPr>
      <w:sz w:val="20"/>
      <w:szCs w:val="20"/>
    </w:rPr>
  </w:style>
  <w:style w:type="character" w:customStyle="1" w:styleId="a7">
    <w:name w:val="Верхний колонтитул Знак"/>
    <w:basedOn w:val="a0"/>
    <w:uiPriority w:val="99"/>
    <w:semiHidden/>
    <w:rsid w:val="00DC66A8"/>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1"/>
    <w:link w:val="a6"/>
    <w:rsid w:val="00DC66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Тараповська Аліна Володимирівна</cp:lastModifiedBy>
  <cp:revision>1</cp:revision>
  <dcterms:created xsi:type="dcterms:W3CDTF">2023-03-07T14:09:00Z</dcterms:created>
  <dcterms:modified xsi:type="dcterms:W3CDTF">2023-03-07T14:09:00Z</dcterms:modified>
</cp:coreProperties>
</file>