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C5D3E">
        <w:rPr>
          <w:sz w:val="28"/>
          <w:szCs w:val="28"/>
          <w:lang w:val="en-US"/>
        </w:rPr>
        <w:t>XLIX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C5D3E" w:rsidRPr="00150E13">
        <w:rPr>
          <w:sz w:val="28"/>
          <w:szCs w:val="28"/>
          <w:lang w:val="uk-UA"/>
        </w:rPr>
        <w:t>31</w:t>
      </w:r>
      <w:r w:rsidR="008C722C">
        <w:rPr>
          <w:sz w:val="28"/>
          <w:szCs w:val="28"/>
          <w:lang w:val="uk-UA"/>
        </w:rPr>
        <w:t xml:space="preserve"> </w:t>
      </w:r>
      <w:r w:rsidR="009C5D3E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</w:t>
      </w:r>
      <w:r w:rsidR="009C5D3E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 № </w:t>
      </w:r>
      <w:r w:rsidR="009C5D3E">
        <w:rPr>
          <w:sz w:val="28"/>
          <w:szCs w:val="28"/>
          <w:lang w:val="uk-UA"/>
        </w:rPr>
        <w:t>4410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7B4D7C" w:rsidTr="006C4760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F747E9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605B2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6C4760">
              <w:rPr>
                <w:sz w:val="28"/>
                <w:szCs w:val="28"/>
                <w:lang w:val="uk-UA"/>
              </w:rPr>
              <w:t>ОМФАЛ</w:t>
            </w:r>
            <w:r w:rsidR="00605B21">
              <w:rPr>
                <w:sz w:val="28"/>
                <w:szCs w:val="28"/>
                <w:lang w:val="uk-UA"/>
              </w:rPr>
              <w:t>»</w:t>
            </w:r>
            <w:r w:rsidR="00547DEA">
              <w:rPr>
                <w:sz w:val="28"/>
                <w:szCs w:val="28"/>
                <w:lang w:val="uk-UA"/>
              </w:rPr>
              <w:t xml:space="preserve"> та Зачепило Микиті Олександровичу</w:t>
            </w:r>
            <w:r w:rsidR="00A46786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ки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F747E9" w:rsidRPr="00F747E9">
              <w:rPr>
                <w:sz w:val="28"/>
                <w:szCs w:val="28"/>
              </w:rPr>
              <w:t>__________</w:t>
            </w:r>
            <w:r w:rsidR="0001284B">
              <w:rPr>
                <w:sz w:val="28"/>
                <w:szCs w:val="28"/>
                <w:lang w:val="uk-UA"/>
              </w:rPr>
              <w:t>площею 0,</w:t>
            </w:r>
            <w:r w:rsidR="006C4760">
              <w:rPr>
                <w:sz w:val="28"/>
                <w:szCs w:val="28"/>
                <w:lang w:val="uk-UA"/>
              </w:rPr>
              <w:t>3191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AD7201">
        <w:rPr>
          <w:sz w:val="28"/>
          <w:szCs w:val="28"/>
          <w:lang w:val="uk-UA"/>
        </w:rPr>
        <w:t>юридичної особи</w:t>
      </w:r>
      <w:r w:rsidR="00A00D0F">
        <w:rPr>
          <w:sz w:val="28"/>
          <w:szCs w:val="28"/>
          <w:lang w:val="uk-UA"/>
        </w:rPr>
        <w:t xml:space="preserve"> та громадянина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8C21A3">
        <w:rPr>
          <w:sz w:val="28"/>
          <w:szCs w:val="28"/>
          <w:lang w:val="uk-UA"/>
        </w:rPr>
        <w:t xml:space="preserve">24 червня 2020 року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8C21A3">
        <w:rPr>
          <w:sz w:val="28"/>
          <w:szCs w:val="28"/>
          <w:lang w:val="uk-UA"/>
        </w:rPr>
        <w:t>7000</w:t>
      </w:r>
      <w:r w:rsidR="00A3747C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9C5D3E">
        <w:rPr>
          <w:sz w:val="28"/>
          <w:szCs w:val="28"/>
          <w:lang w:val="uk-UA"/>
        </w:rPr>
        <w:t>28.11.</w:t>
      </w:r>
      <w:r w:rsidR="00BE4BAB">
        <w:rPr>
          <w:sz w:val="28"/>
          <w:szCs w:val="28"/>
          <w:lang w:val="uk-UA"/>
        </w:rPr>
        <w:t>2023</w:t>
      </w:r>
      <w:r w:rsidR="00424B23">
        <w:rPr>
          <w:sz w:val="28"/>
          <w:szCs w:val="28"/>
          <w:lang w:val="uk-UA"/>
        </w:rPr>
        <w:t xml:space="preserve"> року № </w:t>
      </w:r>
      <w:r w:rsidR="00BE4BAB">
        <w:rPr>
          <w:sz w:val="28"/>
          <w:szCs w:val="28"/>
          <w:lang w:val="uk-UA"/>
        </w:rPr>
        <w:t>74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B6EA1">
        <w:rPr>
          <w:sz w:val="28"/>
          <w:szCs w:val="28"/>
          <w:lang w:val="uk-UA"/>
        </w:rPr>
        <w:t>Товариству з обмеженою відповідальністю «ОМФАЛ» та Зачепило Микиті Олександровичу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2F2655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297872" w:rsidRDefault="00BA2297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4B6EA1">
        <w:rPr>
          <w:sz w:val="28"/>
          <w:szCs w:val="28"/>
          <w:lang w:val="uk-UA"/>
        </w:rPr>
        <w:t>Товариству з обмеженою відповідальністю «ОМФАЛ» та Зачепило Микиті Олександровичу</w:t>
      </w:r>
      <w:r w:rsidR="00A00D0F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</w:t>
      </w:r>
      <w:r w:rsidR="00297872">
        <w:rPr>
          <w:sz w:val="28"/>
          <w:szCs w:val="28"/>
          <w:lang w:val="uk-UA"/>
        </w:rPr>
        <w:lastRenderedPageBreak/>
        <w:t xml:space="preserve">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A00D0F" w:rsidRDefault="00A00D0F" w:rsidP="007A6C85">
      <w:pPr>
        <w:jc w:val="both"/>
        <w:rPr>
          <w:sz w:val="28"/>
          <w:szCs w:val="28"/>
          <w:lang w:val="uk-UA"/>
        </w:rPr>
      </w:pP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5635D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4B6EA1" w:rsidRDefault="004B6EA1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4B6EA1">
          <w:pgSz w:w="11906" w:h="16838"/>
          <w:pgMar w:top="567" w:right="567" w:bottom="1701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47DEA" w:rsidRPr="008134BB">
        <w:rPr>
          <w:sz w:val="28"/>
          <w:szCs w:val="28"/>
          <w:lang w:val="uk-UA"/>
        </w:rPr>
        <w:t xml:space="preserve">Про </w:t>
      </w:r>
      <w:r w:rsidR="00547DEA">
        <w:rPr>
          <w:sz w:val="28"/>
          <w:szCs w:val="28"/>
          <w:lang w:val="uk-UA"/>
        </w:rPr>
        <w:t xml:space="preserve">надання в оренду Товариству з обмеженою відповідальністю «ОМФАЛ» та Зачепило Микиті Олександровичу земельної ділянки за </w:t>
      </w:r>
      <w:proofErr w:type="spellStart"/>
      <w:r w:rsidR="00547DEA">
        <w:rPr>
          <w:sz w:val="28"/>
          <w:szCs w:val="28"/>
          <w:lang w:val="uk-UA"/>
        </w:rPr>
        <w:t>адресою</w:t>
      </w:r>
      <w:proofErr w:type="spellEnd"/>
      <w:r w:rsidR="00547DEA">
        <w:rPr>
          <w:sz w:val="28"/>
          <w:szCs w:val="28"/>
          <w:lang w:val="uk-UA"/>
        </w:rPr>
        <w:t xml:space="preserve">:                      м. Суми, </w:t>
      </w:r>
      <w:r w:rsidR="00F747E9" w:rsidRPr="00F747E9">
        <w:rPr>
          <w:sz w:val="28"/>
          <w:szCs w:val="28"/>
        </w:rPr>
        <w:t>_________</w:t>
      </w:r>
      <w:r w:rsidR="00547DEA">
        <w:rPr>
          <w:sz w:val="28"/>
          <w:szCs w:val="28"/>
          <w:lang w:val="uk-UA"/>
        </w:rPr>
        <w:t>площею 0,3191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F42D1">
        <w:rPr>
          <w:sz w:val="28"/>
          <w:szCs w:val="28"/>
          <w:lang w:val="uk-UA"/>
        </w:rPr>
        <w:t>31 січня</w:t>
      </w:r>
      <w:r>
        <w:rPr>
          <w:sz w:val="28"/>
          <w:szCs w:val="28"/>
          <w:lang w:val="uk-UA"/>
        </w:rPr>
        <w:t xml:space="preserve"> </w:t>
      </w:r>
      <w:r w:rsidR="000F42D1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0F42D1">
        <w:rPr>
          <w:sz w:val="28"/>
          <w:szCs w:val="28"/>
          <w:lang w:val="uk-UA"/>
        </w:rPr>
        <w:t>4410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4A0C78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547DEA">
        <w:rPr>
          <w:sz w:val="28"/>
          <w:szCs w:val="28"/>
          <w:lang w:val="uk-UA"/>
        </w:rPr>
        <w:t xml:space="preserve"> та громадян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6"/>
        <w:gridCol w:w="3296"/>
        <w:gridCol w:w="5246"/>
        <w:gridCol w:w="1700"/>
        <w:gridCol w:w="2190"/>
        <w:gridCol w:w="1959"/>
        <w:gridCol w:w="105"/>
      </w:tblGrid>
      <w:tr w:rsidR="00981417" w:rsidRPr="004F580C" w:rsidTr="00ED4D2A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586" w:rsidRPr="00DB3632" w:rsidRDefault="00942586" w:rsidP="00942586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981417" w:rsidRDefault="00942586" w:rsidP="00942586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="00547DEA">
              <w:rPr>
                <w:sz w:val="24"/>
                <w:szCs w:val="24"/>
                <w:lang w:val="uk-UA"/>
              </w:rPr>
              <w:t>;</w:t>
            </w:r>
          </w:p>
          <w:p w:rsidR="00547DEA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547DEA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особи,</w:t>
            </w:r>
          </w:p>
          <w:p w:rsidR="00547DEA" w:rsidRPr="00862403" w:rsidRDefault="00547DEA" w:rsidP="00547D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ED4D2A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ED4D2A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97" w:type="pct"/>
            <w:shd w:val="clear" w:color="auto" w:fill="auto"/>
          </w:tcPr>
          <w:p w:rsidR="00B72257" w:rsidRDefault="00942586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:rsidR="00981417" w:rsidRDefault="00942586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B72257">
              <w:rPr>
                <w:sz w:val="28"/>
                <w:szCs w:val="28"/>
                <w:lang w:val="uk-UA"/>
              </w:rPr>
              <w:t>ОМФАЛ»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B72257" w:rsidRDefault="00B72257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72257" w:rsidRDefault="00B72257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72257" w:rsidRDefault="00B72257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Зачепило Микита Олександрович,</w:t>
            </w:r>
          </w:p>
          <w:p w:rsidR="000F42D1" w:rsidRDefault="000F42D1" w:rsidP="00B72257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72257" w:rsidRPr="005E59E5" w:rsidRDefault="00B72257" w:rsidP="00B7225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6" w:type="pct"/>
            <w:shd w:val="clear" w:color="auto" w:fill="auto"/>
          </w:tcPr>
          <w:p w:rsidR="00981417" w:rsidRDefault="00981417" w:rsidP="00F747E9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1/100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7B4D7C" w:rsidRDefault="001E0841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A06AB">
              <w:rPr>
                <w:sz w:val="28"/>
                <w:szCs w:val="28"/>
                <w:lang w:val="uk-UA"/>
              </w:rPr>
              <w:t>3191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99/100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</w:t>
            </w:r>
          </w:p>
          <w:p w:rsidR="001D72DE" w:rsidRDefault="001D72DE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0,3191</w:t>
            </w:r>
          </w:p>
          <w:p w:rsidR="00981417" w:rsidRDefault="007B4D7C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81417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29" w:type="pct"/>
            <w:shd w:val="clear" w:color="auto" w:fill="auto"/>
          </w:tcPr>
          <w:p w:rsidR="00981417" w:rsidRPr="006B193C" w:rsidRDefault="00981417" w:rsidP="00ED4D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ED4D2A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52" w:type="pct"/>
            <w:shd w:val="clear" w:color="auto" w:fill="auto"/>
          </w:tcPr>
          <w:p w:rsidR="00981417" w:rsidRDefault="00ED4D2A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981417">
              <w:rPr>
                <w:sz w:val="28"/>
                <w:szCs w:val="28"/>
                <w:lang w:val="uk-UA"/>
              </w:rPr>
              <w:t>,0</w:t>
            </w:r>
          </w:p>
          <w:p w:rsidR="002D31F0" w:rsidRDefault="002D31F0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D31F0" w:rsidRPr="00A25F5E" w:rsidRDefault="00ED4D2A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(5,0</w:t>
            </w:r>
          </w:p>
          <w:p w:rsidR="002D31F0" w:rsidRDefault="002D31F0" w:rsidP="002D31F0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0F42D1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3E1919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Артем</w:t>
      </w:r>
      <w:r w:rsidR="003E1919">
        <w:rPr>
          <w:sz w:val="28"/>
          <w:szCs w:val="28"/>
          <w:lang w:val="uk-UA"/>
        </w:rPr>
        <w:t xml:space="preserve"> КОБЗАР</w:t>
      </w: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150E13">
      <w:pgSz w:w="16838" w:h="11906" w:orient="landscape"/>
      <w:pgMar w:top="568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2F8D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AEC"/>
    <w:rsid w:val="000F3585"/>
    <w:rsid w:val="000F42D1"/>
    <w:rsid w:val="000F6345"/>
    <w:rsid w:val="00107DCD"/>
    <w:rsid w:val="001145BF"/>
    <w:rsid w:val="0011741C"/>
    <w:rsid w:val="00120D89"/>
    <w:rsid w:val="00150B87"/>
    <w:rsid w:val="00150E13"/>
    <w:rsid w:val="00160EFB"/>
    <w:rsid w:val="0016173D"/>
    <w:rsid w:val="00166B37"/>
    <w:rsid w:val="00171B53"/>
    <w:rsid w:val="001875E9"/>
    <w:rsid w:val="001915CD"/>
    <w:rsid w:val="001A06AB"/>
    <w:rsid w:val="001B7D15"/>
    <w:rsid w:val="001C35ED"/>
    <w:rsid w:val="001D72DE"/>
    <w:rsid w:val="001E0841"/>
    <w:rsid w:val="001E4C4B"/>
    <w:rsid w:val="001F7D67"/>
    <w:rsid w:val="0023264A"/>
    <w:rsid w:val="0025269E"/>
    <w:rsid w:val="00264E74"/>
    <w:rsid w:val="00286A79"/>
    <w:rsid w:val="00297872"/>
    <w:rsid w:val="002A62F6"/>
    <w:rsid w:val="002C5BC3"/>
    <w:rsid w:val="002D31F0"/>
    <w:rsid w:val="002D6C1A"/>
    <w:rsid w:val="002E1A0C"/>
    <w:rsid w:val="002E36C4"/>
    <w:rsid w:val="002F2655"/>
    <w:rsid w:val="00333922"/>
    <w:rsid w:val="00340947"/>
    <w:rsid w:val="00342D83"/>
    <w:rsid w:val="00346DCA"/>
    <w:rsid w:val="00372AF4"/>
    <w:rsid w:val="003A0688"/>
    <w:rsid w:val="003A28B9"/>
    <w:rsid w:val="003D4E84"/>
    <w:rsid w:val="003E1919"/>
    <w:rsid w:val="004001FE"/>
    <w:rsid w:val="004076E0"/>
    <w:rsid w:val="00417616"/>
    <w:rsid w:val="004226CB"/>
    <w:rsid w:val="00423EF9"/>
    <w:rsid w:val="00424B23"/>
    <w:rsid w:val="004252ED"/>
    <w:rsid w:val="00436E20"/>
    <w:rsid w:val="00456ACB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1F0C"/>
    <w:rsid w:val="004E2827"/>
    <w:rsid w:val="004F4D09"/>
    <w:rsid w:val="004F4D77"/>
    <w:rsid w:val="00503188"/>
    <w:rsid w:val="005048B0"/>
    <w:rsid w:val="005327A0"/>
    <w:rsid w:val="00535001"/>
    <w:rsid w:val="00547DEA"/>
    <w:rsid w:val="00553EF2"/>
    <w:rsid w:val="005609DE"/>
    <w:rsid w:val="005635D5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96F2D"/>
    <w:rsid w:val="006B193C"/>
    <w:rsid w:val="006C4760"/>
    <w:rsid w:val="006E5D69"/>
    <w:rsid w:val="006F5CA0"/>
    <w:rsid w:val="00702301"/>
    <w:rsid w:val="00723C5A"/>
    <w:rsid w:val="00743D9F"/>
    <w:rsid w:val="0079580A"/>
    <w:rsid w:val="007A6C85"/>
    <w:rsid w:val="007B26D5"/>
    <w:rsid w:val="007B4D7C"/>
    <w:rsid w:val="007D0131"/>
    <w:rsid w:val="007E6167"/>
    <w:rsid w:val="007F289D"/>
    <w:rsid w:val="00800D55"/>
    <w:rsid w:val="00813D00"/>
    <w:rsid w:val="00813E92"/>
    <w:rsid w:val="00827E82"/>
    <w:rsid w:val="00836C35"/>
    <w:rsid w:val="00860723"/>
    <w:rsid w:val="00871944"/>
    <w:rsid w:val="008B5723"/>
    <w:rsid w:val="008C21A3"/>
    <w:rsid w:val="008C722C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5D3E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B62F8"/>
    <w:rsid w:val="00AC383F"/>
    <w:rsid w:val="00AD7201"/>
    <w:rsid w:val="00B017BF"/>
    <w:rsid w:val="00B271AD"/>
    <w:rsid w:val="00B423CD"/>
    <w:rsid w:val="00B44D66"/>
    <w:rsid w:val="00B611BC"/>
    <w:rsid w:val="00B72257"/>
    <w:rsid w:val="00B85B42"/>
    <w:rsid w:val="00B949E5"/>
    <w:rsid w:val="00BA2297"/>
    <w:rsid w:val="00BA7257"/>
    <w:rsid w:val="00BB2AE0"/>
    <w:rsid w:val="00BD1860"/>
    <w:rsid w:val="00BD2419"/>
    <w:rsid w:val="00BD4CB7"/>
    <w:rsid w:val="00BE248F"/>
    <w:rsid w:val="00BE4BAB"/>
    <w:rsid w:val="00BF4206"/>
    <w:rsid w:val="00C03581"/>
    <w:rsid w:val="00C12854"/>
    <w:rsid w:val="00C2181C"/>
    <w:rsid w:val="00C3705E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60F4C"/>
    <w:rsid w:val="00E652BB"/>
    <w:rsid w:val="00E87030"/>
    <w:rsid w:val="00E90E96"/>
    <w:rsid w:val="00E95ECB"/>
    <w:rsid w:val="00EA3EB1"/>
    <w:rsid w:val="00EA4E95"/>
    <w:rsid w:val="00EC1E2D"/>
    <w:rsid w:val="00ED4D2A"/>
    <w:rsid w:val="00EE0453"/>
    <w:rsid w:val="00EE4A58"/>
    <w:rsid w:val="00EF343C"/>
    <w:rsid w:val="00EF584D"/>
    <w:rsid w:val="00F15225"/>
    <w:rsid w:val="00F33AEB"/>
    <w:rsid w:val="00F50120"/>
    <w:rsid w:val="00F51A67"/>
    <w:rsid w:val="00F747E9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7D8F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0CF71-AA1B-432F-A076-45EE1441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2024-02-01T08:39:00Z</cp:lastPrinted>
  <dcterms:created xsi:type="dcterms:W3CDTF">2026-01-14T08:55:00Z</dcterms:created>
  <dcterms:modified xsi:type="dcterms:W3CDTF">2026-01-14T08:55:00Z</dcterms:modified>
</cp:coreProperties>
</file>