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25384" w:rsidRPr="00925384" w:rsidRDefault="00925384" w:rsidP="009253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FB1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>
        <w:rPr>
          <w:sz w:val="28"/>
          <w:szCs w:val="28"/>
          <w:lang w:val="en-US"/>
        </w:rPr>
        <w:t>LX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24 грудня</w:t>
      </w:r>
      <w:r w:rsidR="00925384">
        <w:rPr>
          <w:sz w:val="28"/>
          <w:szCs w:val="28"/>
          <w:lang w:val="uk-UA"/>
        </w:rPr>
        <w:t xml:space="preserve"> 2024 року</w:t>
      </w:r>
      <w:r w:rsidR="00D61ABE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5299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925384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925384">
              <w:rPr>
                <w:sz w:val="28"/>
                <w:szCs w:val="28"/>
                <w:lang w:val="uk-UA"/>
              </w:rPr>
              <w:t>Сумському окружному адміністративному суду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постійне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925384">
              <w:rPr>
                <w:sz w:val="28"/>
                <w:szCs w:val="28"/>
                <w:lang w:val="uk-UA"/>
              </w:rPr>
              <w:t xml:space="preserve">м. Суми, вул. Герасима </w:t>
            </w:r>
            <w:proofErr w:type="spellStart"/>
            <w:r w:rsidR="00925384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="00925384">
              <w:rPr>
                <w:sz w:val="28"/>
                <w:szCs w:val="28"/>
                <w:lang w:val="uk-UA"/>
              </w:rPr>
              <w:t>, 159</w:t>
            </w:r>
            <w:r w:rsidR="00925384">
              <w:rPr>
                <w:sz w:val="28"/>
                <w:szCs w:val="28"/>
              </w:rPr>
              <w:t xml:space="preserve">, </w:t>
            </w:r>
            <w:proofErr w:type="spellStart"/>
            <w:r w:rsidR="00925384">
              <w:rPr>
                <w:sz w:val="28"/>
                <w:szCs w:val="28"/>
              </w:rPr>
              <w:t>площею</w:t>
            </w:r>
            <w:proofErr w:type="spellEnd"/>
            <w:r w:rsidR="00925384">
              <w:rPr>
                <w:sz w:val="28"/>
                <w:szCs w:val="28"/>
              </w:rPr>
              <w:t xml:space="preserve"> 0</w:t>
            </w:r>
            <w:r w:rsidR="00925384">
              <w:rPr>
                <w:sz w:val="28"/>
                <w:szCs w:val="28"/>
                <w:lang w:val="uk-UA"/>
              </w:rPr>
              <w:t>,4695</w:t>
            </w:r>
            <w:r>
              <w:rPr>
                <w:sz w:val="28"/>
                <w:szCs w:val="28"/>
              </w:rPr>
              <w:t xml:space="preserve">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</w:t>
      </w:r>
      <w:r w:rsidR="00AF0B17">
        <w:rPr>
          <w:sz w:val="28"/>
          <w:szCs w:val="28"/>
          <w:lang w:val="uk-UA"/>
        </w:rPr>
        <w:t xml:space="preserve"> від 02.10.2024 № 1471403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12, 92, 122, 123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r w:rsidR="00DF75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доступ до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наказ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управління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23.02.2024 № 141/8 «Про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 Сумської міської ради від 05.11</w:t>
      </w:r>
      <w:r w:rsidR="00925384" w:rsidRPr="00925384">
        <w:rPr>
          <w:sz w:val="28"/>
          <w:szCs w:val="28"/>
          <w:lang w:val="uk-UA"/>
        </w:rPr>
        <w:t xml:space="preserve">.2024 № </w:t>
      </w:r>
      <w:r w:rsidR="00C0395E">
        <w:rPr>
          <w:sz w:val="28"/>
          <w:szCs w:val="28"/>
          <w:lang w:val="uk-UA"/>
        </w:rPr>
        <w:t>92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пунктом 34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04394D" w:rsidRPr="00FC5233" w:rsidRDefault="00D61ABE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r w:rsidR="00FC5233">
        <w:rPr>
          <w:sz w:val="28"/>
          <w:szCs w:val="28"/>
          <w:lang w:val="uk-UA"/>
        </w:rPr>
        <w:t>Сумському окружному адміністративному суду</w:t>
      </w:r>
      <w:r w:rsidR="005D42A0">
        <w:rPr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FC5233">
        <w:rPr>
          <w:sz w:val="28"/>
          <w:szCs w:val="28"/>
          <w:lang w:val="uk-UA"/>
        </w:rPr>
        <w:t xml:space="preserve">м. Суми, вул. Герасима </w:t>
      </w:r>
      <w:proofErr w:type="spellStart"/>
      <w:r w:rsidR="00FC5233">
        <w:rPr>
          <w:sz w:val="28"/>
          <w:szCs w:val="28"/>
          <w:lang w:val="uk-UA"/>
        </w:rPr>
        <w:t>Кондратьєва</w:t>
      </w:r>
      <w:proofErr w:type="spellEnd"/>
      <w:r w:rsidR="00FC5233">
        <w:rPr>
          <w:sz w:val="28"/>
          <w:szCs w:val="28"/>
          <w:lang w:val="uk-UA"/>
        </w:rPr>
        <w:t>, 159</w:t>
      </w:r>
      <w:r w:rsidR="00FC5233" w:rsidRPr="00FC5233">
        <w:rPr>
          <w:sz w:val="28"/>
          <w:szCs w:val="28"/>
          <w:lang w:val="uk-UA"/>
        </w:rPr>
        <w:t>, площею 0</w:t>
      </w:r>
      <w:r w:rsidR="00FC5233">
        <w:rPr>
          <w:sz w:val="28"/>
          <w:szCs w:val="28"/>
          <w:lang w:val="uk-UA"/>
        </w:rPr>
        <w:t>,4695</w:t>
      </w:r>
      <w:r w:rsidRPr="00FC5233">
        <w:rPr>
          <w:sz w:val="28"/>
          <w:szCs w:val="28"/>
          <w:lang w:val="uk-UA"/>
        </w:rPr>
        <w:t xml:space="preserve"> га, кадастро</w:t>
      </w:r>
      <w:r w:rsidR="00FC5233" w:rsidRPr="00FC5233">
        <w:rPr>
          <w:sz w:val="28"/>
          <w:szCs w:val="28"/>
          <w:lang w:val="uk-UA"/>
        </w:rPr>
        <w:t>вий номер 5910136300</w:t>
      </w:r>
      <w:r w:rsidR="00FC5233">
        <w:rPr>
          <w:sz w:val="28"/>
          <w:szCs w:val="28"/>
          <w:lang w:val="uk-UA"/>
        </w:rPr>
        <w:t>:12:003:0056</w:t>
      </w:r>
      <w:r w:rsidRPr="00FC5233">
        <w:rPr>
          <w:sz w:val="28"/>
          <w:szCs w:val="28"/>
          <w:lang w:val="uk-UA"/>
        </w:rPr>
        <w:t>. Категорія та цільове призначення земельної ділянки: землі житлової та громадської забудови, для будівництва та обслуговування буд</w:t>
      </w:r>
      <w:r w:rsidR="00FC5233" w:rsidRPr="00FC5233">
        <w:rPr>
          <w:sz w:val="28"/>
          <w:szCs w:val="28"/>
          <w:lang w:val="uk-UA"/>
        </w:rPr>
        <w:t>івель органів державної влади та органів місцевого самоврядування</w:t>
      </w:r>
      <w:r w:rsidRPr="00FC5233">
        <w:rPr>
          <w:sz w:val="28"/>
          <w:szCs w:val="28"/>
          <w:lang w:val="uk-UA"/>
        </w:rPr>
        <w:t xml:space="preserve"> (код цільового при</w:t>
      </w:r>
      <w:r w:rsidR="00FC5233">
        <w:rPr>
          <w:sz w:val="28"/>
          <w:szCs w:val="28"/>
          <w:lang w:val="uk-UA"/>
        </w:rPr>
        <w:t>значення земельної ділянки 03.01</w:t>
      </w:r>
      <w:r w:rsidRPr="00FC5233">
        <w:rPr>
          <w:sz w:val="28"/>
          <w:szCs w:val="28"/>
          <w:lang w:val="uk-UA"/>
        </w:rPr>
        <w:t>).</w:t>
      </w:r>
    </w:p>
    <w:p w:rsidR="003424D6" w:rsidRPr="00FC5233" w:rsidRDefault="003424D6">
      <w:pPr>
        <w:ind w:right="-2"/>
        <w:jc w:val="both"/>
        <w:rPr>
          <w:sz w:val="28"/>
          <w:szCs w:val="28"/>
          <w:lang w:val="uk-UA"/>
        </w:rPr>
      </w:pPr>
    </w:p>
    <w:p w:rsidR="003424D6" w:rsidRDefault="003424D6">
      <w:pPr>
        <w:ind w:right="-2"/>
        <w:jc w:val="both"/>
        <w:rPr>
          <w:sz w:val="28"/>
          <w:szCs w:val="28"/>
          <w:lang w:val="uk-UA"/>
        </w:rPr>
      </w:pPr>
    </w:p>
    <w:p w:rsidR="00FB1C65" w:rsidRDefault="00FB1C65">
      <w:pPr>
        <w:ind w:right="-2"/>
        <w:jc w:val="both"/>
        <w:rPr>
          <w:sz w:val="28"/>
          <w:szCs w:val="28"/>
          <w:lang w:val="uk-UA"/>
        </w:rPr>
      </w:pPr>
    </w:p>
    <w:p w:rsidR="00FB1C65" w:rsidRPr="00FC5233" w:rsidRDefault="00FB1C65">
      <w:pPr>
        <w:ind w:right="-2"/>
        <w:jc w:val="both"/>
        <w:rPr>
          <w:sz w:val="28"/>
          <w:szCs w:val="28"/>
          <w:lang w:val="uk-UA"/>
        </w:rPr>
      </w:pPr>
    </w:p>
    <w:p w:rsidR="0004394D" w:rsidRDefault="00D61ABE">
      <w:pPr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Артем КОБЗАР</w:t>
      </w:r>
    </w:p>
    <w:p w:rsidR="007911AA" w:rsidRDefault="007911AA">
      <w:pPr>
        <w:ind w:right="-2"/>
        <w:jc w:val="both"/>
        <w:rPr>
          <w:sz w:val="28"/>
          <w:szCs w:val="28"/>
        </w:rPr>
      </w:pPr>
    </w:p>
    <w:p w:rsidR="0004394D" w:rsidRDefault="00D61ABE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925384">
        <w:rPr>
          <w:sz w:val="24"/>
          <w:szCs w:val="24"/>
          <w:lang w:val="uk-UA"/>
        </w:rPr>
        <w:t>Юрій</w:t>
      </w:r>
      <w:r w:rsidR="00D21EC0">
        <w:rPr>
          <w:sz w:val="24"/>
          <w:szCs w:val="24"/>
          <w:lang w:val="uk-UA"/>
        </w:rPr>
        <w:t xml:space="preserve"> КЛИМЕНКО</w:t>
      </w:r>
    </w:p>
    <w:p w:rsidR="00FC5233" w:rsidRDefault="00FC5233" w:rsidP="00FC5233">
      <w:pPr>
        <w:jc w:val="both"/>
        <w:rPr>
          <w:lang w:val="uk-UA"/>
        </w:rPr>
      </w:pPr>
    </w:p>
    <w:p w:rsidR="00FC5233" w:rsidRPr="00AF0B17" w:rsidRDefault="00FC5233">
      <w:pPr>
        <w:jc w:val="both"/>
        <w:rPr>
          <w:sz w:val="24"/>
          <w:szCs w:val="24"/>
          <w:lang w:val="uk-UA"/>
        </w:rPr>
      </w:pPr>
    </w:p>
    <w:sectPr w:rsidR="00FC5233" w:rsidRPr="00AF0B17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306DBF"/>
    <w:rsid w:val="003424D6"/>
    <w:rsid w:val="00393EF6"/>
    <w:rsid w:val="004D5BF7"/>
    <w:rsid w:val="005D42A0"/>
    <w:rsid w:val="006F2F5F"/>
    <w:rsid w:val="007911AA"/>
    <w:rsid w:val="00834A80"/>
    <w:rsid w:val="00925384"/>
    <w:rsid w:val="00AE65C5"/>
    <w:rsid w:val="00AF0B17"/>
    <w:rsid w:val="00BA7818"/>
    <w:rsid w:val="00C0395E"/>
    <w:rsid w:val="00C5624D"/>
    <w:rsid w:val="00D21EC0"/>
    <w:rsid w:val="00D61ABE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A50D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20</cp:revision>
  <cp:lastPrinted>2024-12-25T10:54:00Z</cp:lastPrinted>
  <dcterms:created xsi:type="dcterms:W3CDTF">2024-07-11T05:51:00Z</dcterms:created>
  <dcterms:modified xsi:type="dcterms:W3CDTF">2024-12-26T09:53:00Z</dcterms:modified>
</cp:coreProperties>
</file>