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D4" w:rsidRPr="003037E0" w:rsidRDefault="007021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uk-UA"/>
        </w:rPr>
      </w:pPr>
    </w:p>
    <w:tbl>
      <w:tblPr>
        <w:tblStyle w:val="af3"/>
        <w:tblW w:w="538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252"/>
        <w:gridCol w:w="1134"/>
      </w:tblGrid>
      <w:tr w:rsidR="004251E9" w:rsidRPr="003037E0" w:rsidTr="004251E9">
        <w:tc>
          <w:tcPr>
            <w:tcW w:w="4252" w:type="dxa"/>
          </w:tcPr>
          <w:p w:rsidR="004251E9" w:rsidRPr="003037E0" w:rsidRDefault="00425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0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4251E9" w:rsidRPr="003037E0" w:rsidRDefault="004251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47"/>
              </w:tabs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037E0">
              <w:rPr>
                <w:noProof/>
                <w:color w:val="000000"/>
              </w:rPr>
              <w:drawing>
                <wp:inline distT="0" distB="0" distL="114935" distR="114935" wp14:anchorId="3ACF8707" wp14:editId="467BE7CB">
                  <wp:extent cx="429895" cy="610870"/>
                  <wp:effectExtent l="0" t="0" r="0" b="0"/>
                  <wp:docPr id="10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95" cy="6108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21D4" w:rsidRPr="003037E0" w:rsidRDefault="007021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18"/>
        </w:tabs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:rsidR="007021D4" w:rsidRPr="003037E0" w:rsidRDefault="00C101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18"/>
        </w:tabs>
        <w:spacing w:line="240" w:lineRule="auto"/>
        <w:ind w:left="2" w:hanging="4"/>
        <w:jc w:val="center"/>
        <w:rPr>
          <w:color w:val="000000"/>
          <w:sz w:val="36"/>
          <w:szCs w:val="36"/>
          <w:lang w:val="uk-UA"/>
        </w:rPr>
      </w:pPr>
      <w:r w:rsidRPr="003037E0">
        <w:rPr>
          <w:smallCaps/>
          <w:color w:val="000000"/>
          <w:sz w:val="36"/>
          <w:szCs w:val="36"/>
          <w:lang w:val="uk-UA"/>
        </w:rPr>
        <w:t>СУМСЬКА МІСЬКА РАДА</w:t>
      </w:r>
    </w:p>
    <w:p w:rsidR="007021D4" w:rsidRPr="003037E0" w:rsidRDefault="004251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94"/>
        </w:tabs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VІІІ СКЛИКАННЯ </w:t>
      </w:r>
      <w:r w:rsidRPr="004251E9">
        <w:rPr>
          <w:color w:val="000000"/>
          <w:position w:val="0"/>
          <w:sz w:val="28"/>
          <w:lang w:val="en-US"/>
        </w:rPr>
        <w:t>LX</w:t>
      </w:r>
      <w:r w:rsidRPr="004251E9">
        <w:rPr>
          <w:color w:val="000000"/>
          <w:position w:val="0"/>
          <w:sz w:val="28"/>
          <w:lang w:val="uk-UA"/>
        </w:rPr>
        <w:t>ІІ</w:t>
      </w:r>
      <w:r w:rsidR="00C1012B" w:rsidRPr="003037E0">
        <w:rPr>
          <w:color w:val="000000"/>
          <w:sz w:val="28"/>
          <w:szCs w:val="28"/>
          <w:lang w:val="uk-UA"/>
        </w:rPr>
        <w:t xml:space="preserve"> СЕСІЯ</w:t>
      </w:r>
    </w:p>
    <w:p w:rsidR="007021D4" w:rsidRPr="003037E0" w:rsidRDefault="00C101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uk-UA"/>
        </w:rPr>
      </w:pPr>
      <w:r w:rsidRPr="003037E0">
        <w:rPr>
          <w:b/>
          <w:color w:val="000000"/>
          <w:sz w:val="32"/>
          <w:szCs w:val="32"/>
          <w:lang w:val="uk-UA"/>
        </w:rPr>
        <w:t>РІШЕННЯ</w:t>
      </w: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tbl>
      <w:tblPr>
        <w:tblStyle w:val="af4"/>
        <w:tblW w:w="48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7021D4" w:rsidRPr="003037E0" w:rsidTr="004251E9">
        <w:trPr>
          <w:trHeight w:val="80"/>
        </w:trPr>
        <w:tc>
          <w:tcPr>
            <w:tcW w:w="4820" w:type="dxa"/>
            <w:tcMar>
              <w:left w:w="0" w:type="dxa"/>
            </w:tcMar>
          </w:tcPr>
          <w:p w:rsidR="007021D4" w:rsidRPr="003037E0" w:rsidRDefault="004251E9" w:rsidP="00425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40" w:lineRule="auto"/>
              <w:ind w:left="1" w:right="-252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251E9">
              <w:rPr>
                <w:color w:val="000000"/>
                <w:sz w:val="28"/>
                <w:szCs w:val="28"/>
                <w:lang w:val="uk-UA"/>
              </w:rPr>
              <w:t>від 28 лютого 2025 року № 5360-МР</w:t>
            </w:r>
          </w:p>
        </w:tc>
      </w:tr>
      <w:tr w:rsidR="007021D4" w:rsidRPr="003037E0" w:rsidTr="004251E9">
        <w:tc>
          <w:tcPr>
            <w:tcW w:w="4820" w:type="dxa"/>
            <w:tcMar>
              <w:left w:w="0" w:type="dxa"/>
            </w:tcMar>
          </w:tcPr>
          <w:p w:rsidR="007021D4" w:rsidRPr="003037E0" w:rsidRDefault="00C10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037E0">
              <w:rPr>
                <w:color w:val="000000"/>
                <w:sz w:val="28"/>
                <w:szCs w:val="28"/>
                <w:lang w:val="uk-UA"/>
              </w:rPr>
              <w:t>м. Суми</w:t>
            </w:r>
          </w:p>
        </w:tc>
      </w:tr>
      <w:tr w:rsidR="007021D4" w:rsidRPr="003037E0" w:rsidTr="004251E9">
        <w:tc>
          <w:tcPr>
            <w:tcW w:w="4820" w:type="dxa"/>
            <w:tcMar>
              <w:left w:w="0" w:type="dxa"/>
            </w:tcMar>
          </w:tcPr>
          <w:p w:rsidR="007021D4" w:rsidRPr="003037E0" w:rsidRDefault="0070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021D4" w:rsidRPr="003037E0" w:rsidTr="004251E9">
        <w:tc>
          <w:tcPr>
            <w:tcW w:w="4820" w:type="dxa"/>
            <w:tcMar>
              <w:left w:w="0" w:type="dxa"/>
            </w:tcMar>
          </w:tcPr>
          <w:p w:rsidR="007021D4" w:rsidRPr="003037E0" w:rsidRDefault="00DD376F" w:rsidP="00425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позбавлення Лук</w:t>
            </w:r>
            <w:r w:rsidRPr="00DD376F">
              <w:rPr>
                <w:color w:val="000000"/>
                <w:sz w:val="28"/>
                <w:szCs w:val="28"/>
              </w:rPr>
              <w:t>’</w:t>
            </w:r>
            <w:r>
              <w:rPr>
                <w:color w:val="000000"/>
                <w:sz w:val="28"/>
                <w:szCs w:val="28"/>
                <w:lang w:val="uk-UA"/>
              </w:rPr>
              <w:t>яненка В.М.</w:t>
            </w:r>
            <w:r w:rsidRPr="00DD376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звання «Почесний громадянин міста Суми</w:t>
            </w:r>
            <w:r w:rsidR="00C1012B" w:rsidRPr="003037E0"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</w:tr>
    </w:tbl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021D4" w:rsidRPr="001257DA" w:rsidRDefault="00630BEF" w:rsidP="00397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722"/>
        <w:jc w:val="both"/>
        <w:rPr>
          <w:sz w:val="28"/>
          <w:lang w:val="uk-UA"/>
        </w:rPr>
      </w:pPr>
      <w:r>
        <w:rPr>
          <w:sz w:val="28"/>
          <w:lang w:val="uk-UA"/>
        </w:rPr>
        <w:t>Беручи до уваги звернення Голови Наглядової рад</w:t>
      </w:r>
      <w:r w:rsidR="007D5A00">
        <w:rPr>
          <w:sz w:val="28"/>
          <w:lang w:val="uk-UA"/>
        </w:rPr>
        <w:t xml:space="preserve">и Групи компаній </w:t>
      </w:r>
      <w:r w:rsidR="003971AD">
        <w:rPr>
          <w:sz w:val="28"/>
          <w:lang w:val="uk-UA"/>
        </w:rPr>
        <w:t>«</w:t>
      </w:r>
      <w:r w:rsidR="007D5A00">
        <w:rPr>
          <w:sz w:val="28"/>
          <w:lang w:val="uk-UA"/>
        </w:rPr>
        <w:t>Технологія</w:t>
      </w:r>
      <w:r w:rsidR="003971AD">
        <w:rPr>
          <w:sz w:val="28"/>
          <w:lang w:val="uk-UA"/>
        </w:rPr>
        <w:t>»</w:t>
      </w:r>
      <w:r w:rsidR="007D5A00">
        <w:rPr>
          <w:sz w:val="28"/>
          <w:lang w:val="uk-UA"/>
        </w:rPr>
        <w:t xml:space="preserve"> Зайця В.В.</w:t>
      </w:r>
      <w:r>
        <w:rPr>
          <w:sz w:val="28"/>
          <w:lang w:val="uk-UA"/>
        </w:rPr>
        <w:t>, в</w:t>
      </w:r>
      <w:r w:rsidR="000C567D">
        <w:rPr>
          <w:sz w:val="28"/>
          <w:lang w:val="uk-UA"/>
        </w:rPr>
        <w:t xml:space="preserve">ідповідно </w:t>
      </w:r>
      <w:r w:rsidR="00CE6738">
        <w:rPr>
          <w:sz w:val="28"/>
          <w:lang w:val="uk-UA"/>
        </w:rPr>
        <w:t xml:space="preserve">до </w:t>
      </w:r>
      <w:r w:rsidR="000C567D">
        <w:rPr>
          <w:sz w:val="28"/>
          <w:lang w:val="uk-UA"/>
        </w:rPr>
        <w:t>пункту 6.1</w:t>
      </w:r>
      <w:r w:rsidR="003971AD">
        <w:rPr>
          <w:sz w:val="28"/>
          <w:lang w:val="uk-UA"/>
        </w:rPr>
        <w:t>.</w:t>
      </w:r>
      <w:r w:rsidR="000C567D">
        <w:rPr>
          <w:sz w:val="28"/>
          <w:lang w:val="uk-UA"/>
        </w:rPr>
        <w:t xml:space="preserve"> </w:t>
      </w:r>
      <w:r w:rsidR="001257DA" w:rsidRPr="001257DA">
        <w:rPr>
          <w:sz w:val="28"/>
          <w:lang w:val="uk-UA"/>
        </w:rPr>
        <w:t xml:space="preserve">Положення про звання </w:t>
      </w:r>
      <w:r w:rsidR="001257DA">
        <w:rPr>
          <w:sz w:val="28"/>
          <w:lang w:val="uk-UA"/>
        </w:rPr>
        <w:t>«Почесний громадянин міста Суми», затвердженого</w:t>
      </w:r>
      <w:r w:rsidR="001257DA" w:rsidRPr="001257DA">
        <w:rPr>
          <w:sz w:val="28"/>
          <w:lang w:val="uk-UA"/>
        </w:rPr>
        <w:t xml:space="preserve"> рішенням Сумської міської ради </w:t>
      </w:r>
      <w:r w:rsidR="0056709E" w:rsidRPr="001257DA">
        <w:rPr>
          <w:sz w:val="28"/>
          <w:lang w:val="uk-UA"/>
        </w:rPr>
        <w:t>в</w:t>
      </w:r>
      <w:r w:rsidR="0056709E">
        <w:rPr>
          <w:sz w:val="28"/>
          <w:lang w:val="uk-UA"/>
        </w:rPr>
        <w:t>ід 27 квітня 2016 року № 657-МР</w:t>
      </w:r>
      <w:r w:rsidR="0056709E" w:rsidRPr="001257DA">
        <w:rPr>
          <w:sz w:val="28"/>
          <w:lang w:val="uk-UA"/>
        </w:rPr>
        <w:t xml:space="preserve"> </w:t>
      </w:r>
      <w:r w:rsidR="001257DA" w:rsidRPr="001257DA">
        <w:rPr>
          <w:sz w:val="28"/>
          <w:lang w:val="uk-UA"/>
        </w:rPr>
        <w:t xml:space="preserve">«Про Положення про звання «Почесний громадянин </w:t>
      </w:r>
      <w:r w:rsidR="0056709E">
        <w:rPr>
          <w:sz w:val="28"/>
          <w:lang w:val="uk-UA"/>
        </w:rPr>
        <w:t xml:space="preserve">міста Суми», </w:t>
      </w:r>
      <w:r w:rsidR="000C567D">
        <w:rPr>
          <w:sz w:val="28"/>
          <w:lang w:val="uk-UA"/>
        </w:rPr>
        <w:t>в</w:t>
      </w:r>
      <w:r w:rsidR="005D2725" w:rsidRPr="005D2725">
        <w:rPr>
          <w:color w:val="000000"/>
          <w:sz w:val="28"/>
          <w:szCs w:val="28"/>
          <w:lang w:val="uk-UA"/>
        </w:rPr>
        <w:t>раховуючи</w:t>
      </w:r>
      <w:r w:rsidR="001D0B4D">
        <w:rPr>
          <w:rFonts w:asciiTheme="minorHAnsi" w:eastAsiaTheme="minorHAnsi" w:hAnsiTheme="minorHAnsi" w:cstheme="minorBidi"/>
          <w:b/>
          <w:bCs/>
          <w:position w:val="0"/>
          <w:sz w:val="22"/>
          <w:szCs w:val="22"/>
          <w:lang w:val="uk-UA" w:eastAsia="en-US"/>
        </w:rPr>
        <w:t xml:space="preserve"> </w:t>
      </w:r>
      <w:r w:rsidR="001D0B4D">
        <w:rPr>
          <w:bCs/>
          <w:color w:val="000000"/>
          <w:sz w:val="28"/>
          <w:szCs w:val="28"/>
          <w:lang w:val="uk-UA"/>
        </w:rPr>
        <w:t xml:space="preserve">Указ </w:t>
      </w:r>
      <w:r w:rsidR="00FB34C7" w:rsidRPr="00FB34C7">
        <w:rPr>
          <w:bCs/>
          <w:color w:val="000000"/>
          <w:sz w:val="28"/>
          <w:szCs w:val="28"/>
          <w:lang w:val="uk-UA"/>
        </w:rPr>
        <w:t xml:space="preserve">Президента України </w:t>
      </w:r>
      <w:hyperlink r:id="rId10" w:anchor="n2" w:tgtFrame="_blank" w:history="1">
        <w:r w:rsidR="00CE6738" w:rsidRPr="00CE6738">
          <w:rPr>
            <w:rStyle w:val="af6"/>
            <w:bCs/>
            <w:color w:val="auto"/>
            <w:sz w:val="28"/>
            <w:szCs w:val="28"/>
            <w:u w:val="none"/>
            <w:lang w:val="uk-UA"/>
          </w:rPr>
          <w:t>від 12 травня 2023 року № 279/2023</w:t>
        </w:r>
      </w:hyperlink>
      <w:r w:rsidR="00CE6738" w:rsidRPr="00CE6738">
        <w:rPr>
          <w:bCs/>
          <w:sz w:val="28"/>
          <w:szCs w:val="28"/>
          <w:lang w:val="uk-UA"/>
        </w:rPr>
        <w:t xml:space="preserve"> </w:t>
      </w:r>
      <w:r w:rsidR="00FB34C7">
        <w:rPr>
          <w:bCs/>
          <w:color w:val="000000"/>
          <w:sz w:val="28"/>
          <w:szCs w:val="28"/>
          <w:lang w:val="uk-UA"/>
        </w:rPr>
        <w:t>«</w:t>
      </w:r>
      <w:r w:rsidR="00FB34C7" w:rsidRPr="00FB34C7">
        <w:rPr>
          <w:bCs/>
          <w:color w:val="000000"/>
          <w:sz w:val="28"/>
          <w:szCs w:val="28"/>
          <w:lang w:val="uk-UA"/>
        </w:rPr>
        <w:t>Про рішення Ради національної безпеки і оборони У</w:t>
      </w:r>
      <w:r w:rsidR="000E5C90">
        <w:rPr>
          <w:bCs/>
          <w:color w:val="000000"/>
          <w:sz w:val="28"/>
          <w:szCs w:val="28"/>
          <w:lang w:val="uk-UA"/>
        </w:rPr>
        <w:t>країни від 12 травня 2023 року «</w:t>
      </w:r>
      <w:r w:rsidR="00FB34C7" w:rsidRPr="00FB34C7">
        <w:rPr>
          <w:bCs/>
          <w:color w:val="000000"/>
          <w:sz w:val="28"/>
          <w:szCs w:val="28"/>
          <w:lang w:val="uk-UA"/>
        </w:rPr>
        <w:t xml:space="preserve">Про застосування та внесення змін до персональних спеціальних економічних та інших </w:t>
      </w:r>
      <w:r w:rsidR="000E5C90">
        <w:rPr>
          <w:bCs/>
          <w:color w:val="000000"/>
          <w:sz w:val="28"/>
          <w:szCs w:val="28"/>
          <w:lang w:val="uk-UA"/>
        </w:rPr>
        <w:t>обмежувальних заходів (санкцій)»</w:t>
      </w:r>
      <w:r w:rsidR="006936A5">
        <w:rPr>
          <w:bCs/>
          <w:color w:val="000000"/>
          <w:sz w:val="28"/>
          <w:szCs w:val="28"/>
          <w:lang w:val="uk-UA"/>
        </w:rPr>
        <w:t xml:space="preserve">, </w:t>
      </w:r>
      <w:r w:rsidR="00C1012B" w:rsidRPr="00002BE2">
        <w:rPr>
          <w:color w:val="000000"/>
          <w:sz w:val="28"/>
          <w:szCs w:val="28"/>
          <w:lang w:val="uk-UA"/>
        </w:rPr>
        <w:t xml:space="preserve">керуючись статтею 25 Закону України «Про місцеве самоврядування в Україні», </w:t>
      </w:r>
      <w:r w:rsidR="00C1012B" w:rsidRPr="00002BE2">
        <w:rPr>
          <w:b/>
          <w:color w:val="000000"/>
          <w:sz w:val="28"/>
          <w:szCs w:val="28"/>
          <w:lang w:val="uk-UA"/>
        </w:rPr>
        <w:t>Сумська міська рада</w:t>
      </w:r>
    </w:p>
    <w:p w:rsidR="007021D4" w:rsidRPr="00002BE2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021D4" w:rsidRPr="003037E0" w:rsidRDefault="00C101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3037E0">
        <w:rPr>
          <w:b/>
          <w:color w:val="000000"/>
          <w:sz w:val="28"/>
          <w:szCs w:val="28"/>
          <w:lang w:val="uk-UA"/>
        </w:rPr>
        <w:t>ВИРІШИЛА:</w:t>
      </w: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:rsidR="007021D4" w:rsidRPr="00F74301" w:rsidRDefault="00630BEF" w:rsidP="00F74301">
      <w:pPr>
        <w:pStyle w:val="af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left="0" w:firstLineChars="0" w:firstLine="707"/>
        <w:jc w:val="both"/>
        <w:rPr>
          <w:sz w:val="28"/>
          <w:szCs w:val="28"/>
          <w:lang w:val="uk-UA"/>
        </w:rPr>
      </w:pPr>
      <w:r w:rsidRPr="00F74301">
        <w:rPr>
          <w:sz w:val="28"/>
          <w:szCs w:val="28"/>
          <w:lang w:val="uk-UA"/>
        </w:rPr>
        <w:t>Позбавити звання «Почесний громадянин міста Суми» Лук’яненка Володимира Матвійовича</w:t>
      </w:r>
      <w:r w:rsidR="00F74301" w:rsidRPr="00F74301">
        <w:rPr>
          <w:sz w:val="28"/>
          <w:szCs w:val="28"/>
          <w:highlight w:val="white"/>
          <w:lang w:val="uk-UA"/>
        </w:rPr>
        <w:t xml:space="preserve"> </w:t>
      </w:r>
      <w:r w:rsidR="00F74301" w:rsidRPr="00F74301">
        <w:rPr>
          <w:sz w:val="28"/>
          <w:szCs w:val="28"/>
          <w:lang w:val="uk-UA"/>
        </w:rPr>
        <w:t>та встановленого права на пільги, визначен</w:t>
      </w:r>
      <w:r w:rsidR="00F74301">
        <w:rPr>
          <w:sz w:val="28"/>
          <w:szCs w:val="28"/>
          <w:lang w:val="uk-UA"/>
        </w:rPr>
        <w:t>ого</w:t>
      </w:r>
      <w:r w:rsidR="00F74301" w:rsidRPr="00F74301">
        <w:rPr>
          <w:sz w:val="28"/>
          <w:szCs w:val="28"/>
          <w:lang w:val="uk-UA"/>
        </w:rPr>
        <w:t xml:space="preserve"> Положенням</w:t>
      </w:r>
      <w:r w:rsidR="00F74301">
        <w:rPr>
          <w:sz w:val="28"/>
          <w:szCs w:val="28"/>
          <w:lang w:val="uk-UA"/>
        </w:rPr>
        <w:t xml:space="preserve"> </w:t>
      </w:r>
      <w:r w:rsidR="00F74301" w:rsidRPr="001257DA">
        <w:rPr>
          <w:sz w:val="28"/>
          <w:lang w:val="uk-UA"/>
        </w:rPr>
        <w:t xml:space="preserve">про </w:t>
      </w:r>
      <w:r w:rsidR="004D626A">
        <w:rPr>
          <w:sz w:val="28"/>
          <w:lang w:val="uk-UA"/>
        </w:rPr>
        <w:t>вищезазначене з</w:t>
      </w:r>
      <w:r w:rsidR="00F74301" w:rsidRPr="001257DA">
        <w:rPr>
          <w:sz w:val="28"/>
          <w:lang w:val="uk-UA"/>
        </w:rPr>
        <w:t>вання</w:t>
      </w:r>
      <w:r w:rsidR="004D626A">
        <w:rPr>
          <w:sz w:val="28"/>
          <w:lang w:val="uk-UA"/>
        </w:rPr>
        <w:t>.</w:t>
      </w:r>
    </w:p>
    <w:p w:rsidR="00F74301" w:rsidRPr="00F74301" w:rsidRDefault="00F74301" w:rsidP="00F74301">
      <w:pPr>
        <w:pStyle w:val="af5"/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left="1082" w:firstLineChars="0" w:firstLine="0"/>
        <w:jc w:val="both"/>
        <w:rPr>
          <w:sz w:val="28"/>
          <w:szCs w:val="28"/>
          <w:highlight w:val="white"/>
          <w:lang w:val="uk-UA"/>
        </w:rPr>
      </w:pPr>
    </w:p>
    <w:p w:rsidR="007021D4" w:rsidRPr="003037E0" w:rsidRDefault="00C1012B" w:rsidP="00DF03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1" w:firstLineChars="252" w:firstLine="706"/>
        <w:jc w:val="both"/>
        <w:rPr>
          <w:color w:val="000000"/>
          <w:sz w:val="28"/>
          <w:szCs w:val="28"/>
          <w:lang w:val="uk-UA"/>
        </w:rPr>
      </w:pPr>
      <w:r w:rsidRPr="00576CD6">
        <w:rPr>
          <w:sz w:val="28"/>
          <w:szCs w:val="28"/>
          <w:lang w:val="uk-UA"/>
        </w:rPr>
        <w:t xml:space="preserve">2. </w:t>
      </w:r>
      <w:r w:rsidRPr="003037E0">
        <w:rPr>
          <w:b/>
          <w:color w:val="000000"/>
          <w:sz w:val="28"/>
          <w:szCs w:val="28"/>
          <w:lang w:val="uk-UA"/>
        </w:rPr>
        <w:t xml:space="preserve"> </w:t>
      </w:r>
      <w:r w:rsidRPr="003037E0">
        <w:rPr>
          <w:color w:val="000000"/>
          <w:sz w:val="28"/>
          <w:szCs w:val="28"/>
          <w:lang w:val="uk-UA"/>
        </w:rPr>
        <w:t xml:space="preserve">Організацію виконання даного рішення покласти на </w:t>
      </w:r>
      <w:r w:rsidRPr="000A2DB5">
        <w:rPr>
          <w:color w:val="000000"/>
          <w:sz w:val="28"/>
          <w:szCs w:val="28"/>
          <w:lang w:val="uk-UA"/>
        </w:rPr>
        <w:t>секретаря Сумської міської ради</w:t>
      </w:r>
      <w:r w:rsidR="003037E0" w:rsidRPr="000A2DB5">
        <w:rPr>
          <w:color w:val="000000"/>
          <w:sz w:val="28"/>
          <w:szCs w:val="28"/>
          <w:lang w:val="uk-UA"/>
        </w:rPr>
        <w:t>.</w:t>
      </w:r>
      <w:r w:rsidRPr="003037E0">
        <w:rPr>
          <w:color w:val="000000"/>
          <w:sz w:val="28"/>
          <w:szCs w:val="28"/>
          <w:lang w:val="uk-UA"/>
        </w:rPr>
        <w:t xml:space="preserve"> </w:t>
      </w:r>
    </w:p>
    <w:p w:rsidR="00DF03FC" w:rsidRDefault="00DF0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DF03FC" w:rsidRDefault="00DF0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7021D4" w:rsidRPr="003037E0" w:rsidRDefault="00C101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3037E0">
        <w:rPr>
          <w:color w:val="000000"/>
          <w:sz w:val="28"/>
          <w:szCs w:val="28"/>
          <w:lang w:val="uk-UA"/>
        </w:rPr>
        <w:t>Секретар Сумської міської ради</w:t>
      </w:r>
      <w:r w:rsidRPr="003037E0">
        <w:rPr>
          <w:color w:val="000000"/>
          <w:sz w:val="28"/>
          <w:szCs w:val="28"/>
          <w:lang w:val="uk-UA"/>
        </w:rPr>
        <w:tab/>
      </w:r>
      <w:r w:rsidRPr="003037E0">
        <w:rPr>
          <w:color w:val="000000"/>
          <w:sz w:val="28"/>
          <w:szCs w:val="28"/>
          <w:lang w:val="uk-UA"/>
        </w:rPr>
        <w:tab/>
      </w:r>
      <w:r w:rsidRPr="003037E0">
        <w:rPr>
          <w:color w:val="000000"/>
          <w:sz w:val="28"/>
          <w:szCs w:val="28"/>
          <w:lang w:val="uk-UA"/>
        </w:rPr>
        <w:tab/>
      </w:r>
      <w:r w:rsidRPr="003037E0">
        <w:rPr>
          <w:color w:val="000000"/>
          <w:sz w:val="28"/>
          <w:szCs w:val="28"/>
          <w:lang w:val="uk-UA"/>
        </w:rPr>
        <w:tab/>
      </w:r>
      <w:r w:rsidRPr="003037E0">
        <w:rPr>
          <w:color w:val="000000"/>
          <w:sz w:val="28"/>
          <w:szCs w:val="28"/>
          <w:lang w:val="uk-UA"/>
        </w:rPr>
        <w:tab/>
        <w:t xml:space="preserve">       Артем КОБЗАР</w:t>
      </w: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:rsidR="007021D4" w:rsidRPr="003037E0" w:rsidRDefault="00C101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  <w:lang w:val="uk-UA"/>
        </w:rPr>
      </w:pPr>
      <w:r w:rsidRPr="003037E0">
        <w:rPr>
          <w:color w:val="000000"/>
          <w:sz w:val="18"/>
          <w:szCs w:val="18"/>
          <w:lang w:val="uk-UA"/>
        </w:rPr>
        <w:t xml:space="preserve">Виконавець: </w:t>
      </w:r>
      <w:r w:rsidR="005222D3">
        <w:rPr>
          <w:color w:val="000000"/>
          <w:sz w:val="18"/>
          <w:szCs w:val="18"/>
          <w:lang w:val="uk-UA"/>
        </w:rPr>
        <w:t>Владислав Купрієнко</w:t>
      </w:r>
    </w:p>
    <w:p w:rsidR="007021D4" w:rsidRPr="003037E0" w:rsidRDefault="007021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:rsidR="004251E9" w:rsidRDefault="004251E9" w:rsidP="004C09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uk-UA"/>
        </w:rPr>
      </w:pPr>
    </w:p>
    <w:p w:rsidR="004251E9" w:rsidRDefault="004251E9" w:rsidP="004C09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uk-UA"/>
        </w:rPr>
      </w:pPr>
      <w:bookmarkStart w:id="0" w:name="_GoBack"/>
      <w:bookmarkEnd w:id="0"/>
    </w:p>
    <w:sectPr w:rsidR="004251E9" w:rsidSect="00613683">
      <w:headerReference w:type="even" r:id="rId11"/>
      <w:pgSz w:w="11907" w:h="16840"/>
      <w:pgMar w:top="1134" w:right="567" w:bottom="851" w:left="156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BFF" w:rsidRDefault="00B67BFF">
      <w:pPr>
        <w:spacing w:line="240" w:lineRule="auto"/>
        <w:ind w:left="0" w:hanging="2"/>
      </w:pPr>
      <w:r>
        <w:separator/>
      </w:r>
    </w:p>
  </w:endnote>
  <w:endnote w:type="continuationSeparator" w:id="0">
    <w:p w:rsidR="00B67BFF" w:rsidRDefault="00B67BF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BFF" w:rsidRDefault="00B67BFF">
      <w:pPr>
        <w:spacing w:line="240" w:lineRule="auto"/>
        <w:ind w:left="0" w:hanging="2"/>
      </w:pPr>
      <w:r>
        <w:separator/>
      </w:r>
    </w:p>
  </w:footnote>
  <w:footnote w:type="continuationSeparator" w:id="0">
    <w:p w:rsidR="00B67BFF" w:rsidRDefault="00B67BF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1D4" w:rsidRDefault="00C101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021D4" w:rsidRDefault="007021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66C88"/>
    <w:multiLevelType w:val="hybridMultilevel"/>
    <w:tmpl w:val="E20A2A78"/>
    <w:lvl w:ilvl="0" w:tplc="42424AF4">
      <w:start w:val="1"/>
      <w:numFmt w:val="decimal"/>
      <w:lvlText w:val="%1."/>
      <w:lvlJc w:val="left"/>
      <w:pPr>
        <w:ind w:left="108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D4"/>
    <w:rsid w:val="00002BE2"/>
    <w:rsid w:val="00017C6D"/>
    <w:rsid w:val="000A2DB5"/>
    <w:rsid w:val="000C567D"/>
    <w:rsid w:val="000E5C90"/>
    <w:rsid w:val="0012006F"/>
    <w:rsid w:val="001210DA"/>
    <w:rsid w:val="001257DA"/>
    <w:rsid w:val="00141C5F"/>
    <w:rsid w:val="001B5FAB"/>
    <w:rsid w:val="001D0B4D"/>
    <w:rsid w:val="001E4EF7"/>
    <w:rsid w:val="00223BD9"/>
    <w:rsid w:val="002A4E27"/>
    <w:rsid w:val="003037E0"/>
    <w:rsid w:val="00361A08"/>
    <w:rsid w:val="0036488D"/>
    <w:rsid w:val="003971AD"/>
    <w:rsid w:val="003B6197"/>
    <w:rsid w:val="003D3C0A"/>
    <w:rsid w:val="004251E9"/>
    <w:rsid w:val="00461608"/>
    <w:rsid w:val="0047120C"/>
    <w:rsid w:val="00491017"/>
    <w:rsid w:val="004C09BC"/>
    <w:rsid w:val="004D626A"/>
    <w:rsid w:val="0051743B"/>
    <w:rsid w:val="005222D3"/>
    <w:rsid w:val="0056709E"/>
    <w:rsid w:val="00576CD6"/>
    <w:rsid w:val="005B1F6A"/>
    <w:rsid w:val="005B465B"/>
    <w:rsid w:val="005D2725"/>
    <w:rsid w:val="005F1251"/>
    <w:rsid w:val="006023F9"/>
    <w:rsid w:val="00613683"/>
    <w:rsid w:val="00630BEF"/>
    <w:rsid w:val="00655D7E"/>
    <w:rsid w:val="006936A5"/>
    <w:rsid w:val="006F2EA6"/>
    <w:rsid w:val="006F7DC5"/>
    <w:rsid w:val="007021D4"/>
    <w:rsid w:val="0079536F"/>
    <w:rsid w:val="007B28E5"/>
    <w:rsid w:val="007D5A00"/>
    <w:rsid w:val="00805724"/>
    <w:rsid w:val="00877767"/>
    <w:rsid w:val="009109AA"/>
    <w:rsid w:val="00A04A88"/>
    <w:rsid w:val="00A5713F"/>
    <w:rsid w:val="00A62C58"/>
    <w:rsid w:val="00AE1026"/>
    <w:rsid w:val="00AE55FF"/>
    <w:rsid w:val="00B1545A"/>
    <w:rsid w:val="00B67BFF"/>
    <w:rsid w:val="00B80243"/>
    <w:rsid w:val="00C1012B"/>
    <w:rsid w:val="00CE6738"/>
    <w:rsid w:val="00CF5722"/>
    <w:rsid w:val="00D224F1"/>
    <w:rsid w:val="00DC6376"/>
    <w:rsid w:val="00DD376F"/>
    <w:rsid w:val="00DF03FC"/>
    <w:rsid w:val="00E432F6"/>
    <w:rsid w:val="00E549CC"/>
    <w:rsid w:val="00EA71FD"/>
    <w:rsid w:val="00F37EA4"/>
    <w:rsid w:val="00F454D8"/>
    <w:rsid w:val="00F74301"/>
    <w:rsid w:val="00F95803"/>
    <w:rsid w:val="00FB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E48B"/>
  <w15:docId w15:val="{8A37F745-8205-4A40-B5FA-AEF901EA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/>
    </w:rPr>
  </w:style>
  <w:style w:type="paragraph" w:styleId="1">
    <w:name w:val="heading 1"/>
    <w:basedOn w:val="a"/>
    <w:next w:val="a"/>
    <w:uiPriority w:val="9"/>
    <w:qFormat/>
    <w:pPr>
      <w:keepNext/>
      <w:jc w:val="center"/>
    </w:pPr>
    <w:rPr>
      <w:b/>
      <w:smallCaps/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jc w:val="center"/>
      <w:outlineLvl w:val="1"/>
    </w:pPr>
    <w:rPr>
      <w:smallCaps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smallCaps/>
      <w:sz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pPr>
      <w:ind w:firstLine="709"/>
    </w:pPr>
    <w:rPr>
      <w:sz w:val="28"/>
      <w:lang w:val="uk-UA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table" w:styleId="a6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</w:rPr>
  </w:style>
  <w:style w:type="paragraph" w:styleId="a8">
    <w:name w:val="Body Text"/>
    <w:basedOn w:val="a"/>
    <w:pPr>
      <w:spacing w:after="120"/>
    </w:pPr>
  </w:style>
  <w:style w:type="paragraph" w:styleId="a9">
    <w:name w:val="Body Text Indent"/>
    <w:basedOn w:val="a"/>
    <w:pPr>
      <w:spacing w:after="120"/>
      <w:ind w:left="283"/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Pr>
      <w:lang w:val="en-US" w:eastAsia="en-US"/>
    </w:rPr>
  </w:style>
  <w:style w:type="character" w:styleId="ac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d">
    <w:name w:val="Знак Знак Знак Знак"/>
    <w:basedOn w:val="a"/>
    <w:rPr>
      <w:lang w:val="en-US" w:eastAsia="en-US"/>
    </w:rPr>
  </w:style>
  <w:style w:type="paragraph" w:customStyle="1" w:styleId="ae">
    <w:name w:val="Знак Знак Знак"/>
    <w:basedOn w:val="a"/>
    <w:rPr>
      <w:rFonts w:ascii="Verdana" w:hAnsi="Verdana" w:cs="Verdana"/>
      <w:lang w:val="en-US" w:eastAsia="en-US"/>
    </w:rPr>
  </w:style>
  <w:style w:type="paragraph" w:styleId="21">
    <w:name w:val="Body Text 2"/>
    <w:basedOn w:val="a"/>
    <w:pPr>
      <w:spacing w:after="120" w:line="480" w:lineRule="auto"/>
    </w:pPr>
    <w:rPr>
      <w:sz w:val="24"/>
      <w:szCs w:val="24"/>
    </w:rPr>
  </w:style>
  <w:style w:type="paragraph" w:customStyle="1" w:styleId="af">
    <w:name w:val="Знак Знак Знак Знак Знак Знак Знак"/>
    <w:basedOn w:val="a"/>
    <w:rPr>
      <w:rFonts w:ascii="Verdana" w:eastAsia="Batang" w:hAnsi="Verdana" w:cs="Verdana"/>
      <w:lang w:val="en-US" w:eastAsia="en-US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F74301"/>
    <w:pPr>
      <w:ind w:left="720"/>
      <w:contextualSpacing/>
    </w:pPr>
  </w:style>
  <w:style w:type="character" w:styleId="af6">
    <w:name w:val="Hyperlink"/>
    <w:basedOn w:val="a0"/>
    <w:uiPriority w:val="99"/>
    <w:unhideWhenUsed/>
    <w:rsid w:val="00CE67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279/2023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1wD6I62Azk6KMST41V0xXGPUGQ==">CgMxLjA4AHIhMUVXam1CTUllemdoRzl0R0dwX3JKYmJoR0hqc1NDcmNM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9AF587-C635-49D3-9C0B-47618858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Orgviddil</dc:creator>
  <cp:lastModifiedBy>Авраменко Тетяна Ігорівна</cp:lastModifiedBy>
  <cp:revision>4</cp:revision>
  <cp:lastPrinted>2025-03-04T07:38:00Z</cp:lastPrinted>
  <dcterms:created xsi:type="dcterms:W3CDTF">2025-03-04T07:22:00Z</dcterms:created>
  <dcterms:modified xsi:type="dcterms:W3CDTF">2025-03-10T11:49:00Z</dcterms:modified>
</cp:coreProperties>
</file>