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C0A2D">
        <w:rPr>
          <w:sz w:val="28"/>
          <w:szCs w:val="28"/>
          <w:lang w:val="uk-UA"/>
        </w:rPr>
        <w:t xml:space="preserve"> </w:t>
      </w:r>
      <w:r w:rsidR="007C0A2D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C0A2D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C0A2D">
        <w:rPr>
          <w:sz w:val="28"/>
          <w:szCs w:val="28"/>
          <w:lang w:val="uk-UA"/>
        </w:rPr>
        <w:t>5622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0A1A4D">
        <w:trPr>
          <w:trHeight w:val="126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D07F5F" w:rsidRDefault="00305AB3" w:rsidP="00D07F5F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E2242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2A2C37">
              <w:rPr>
                <w:sz w:val="28"/>
                <w:szCs w:val="28"/>
                <w:lang w:val="uk-UA"/>
              </w:rPr>
              <w:t>Кошик-Маркет</w:t>
            </w:r>
            <w:r w:rsidR="002E2242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2A2C37">
              <w:rPr>
                <w:sz w:val="28"/>
                <w:szCs w:val="28"/>
                <w:lang w:val="uk-UA"/>
              </w:rPr>
              <w:t xml:space="preserve"> за адресою:                м. Суми,</w:t>
            </w:r>
            <w:r w:rsidR="00DD7D10">
              <w:rPr>
                <w:sz w:val="28"/>
                <w:szCs w:val="28"/>
                <w:lang w:val="uk-UA"/>
              </w:rPr>
              <w:t xml:space="preserve"> </w:t>
            </w:r>
            <w:r w:rsidR="00D07F5F" w:rsidRPr="00D07F5F">
              <w:rPr>
                <w:sz w:val="28"/>
                <w:szCs w:val="28"/>
              </w:rPr>
              <w:t>___________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2A2C37">
              <w:rPr>
                <w:sz w:val="28"/>
                <w:szCs w:val="28"/>
                <w:lang w:val="uk-UA"/>
              </w:rPr>
              <w:t>0,0807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D07F5F">
              <w:rPr>
                <w:sz w:val="28"/>
                <w:szCs w:val="28"/>
                <w:lang w:val="en-US"/>
              </w:rPr>
              <w:t>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2A2C37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EB020A">
        <w:rPr>
          <w:sz w:val="28"/>
          <w:szCs w:val="28"/>
          <w:lang w:val="uk-UA"/>
        </w:rPr>
        <w:t>24.03</w:t>
      </w:r>
      <w:r w:rsidR="00E66DE2">
        <w:rPr>
          <w:sz w:val="28"/>
          <w:szCs w:val="28"/>
          <w:lang w:val="uk-UA"/>
        </w:rPr>
        <w:t xml:space="preserve">.2025 № </w:t>
      </w:r>
      <w:r w:rsidR="00EB020A">
        <w:rPr>
          <w:sz w:val="28"/>
          <w:szCs w:val="28"/>
          <w:lang w:val="uk-UA"/>
        </w:rPr>
        <w:t>1549609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26511F">
        <w:rPr>
          <w:sz w:val="28"/>
          <w:szCs w:val="28"/>
          <w:lang w:val="uk-UA"/>
        </w:rPr>
        <w:t>06 травня 2025 року</w:t>
      </w:r>
      <w:r w:rsidR="00A76F50">
        <w:rPr>
          <w:sz w:val="28"/>
          <w:szCs w:val="28"/>
          <w:lang w:val="uk-UA"/>
        </w:rPr>
        <w:t xml:space="preserve"> №</w:t>
      </w:r>
      <w:r w:rsidR="0026511F">
        <w:rPr>
          <w:sz w:val="28"/>
          <w:szCs w:val="28"/>
          <w:lang w:val="uk-UA"/>
        </w:rPr>
        <w:t xml:space="preserve"> 99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EB020A">
        <w:rPr>
          <w:sz w:val="28"/>
          <w:szCs w:val="28"/>
          <w:lang w:val="uk-UA"/>
        </w:rPr>
        <w:t>Кошик-Маркет</w:t>
      </w:r>
      <w:r w:rsidR="00FA5CA3">
        <w:rPr>
          <w:sz w:val="28"/>
          <w:szCs w:val="28"/>
          <w:lang w:val="uk-UA"/>
        </w:rPr>
        <w:t>»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адресою: м. Суми, </w:t>
      </w:r>
      <w:r w:rsidR="00D07F5F" w:rsidRPr="00D07F5F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площею </w:t>
      </w:r>
      <w:r w:rsidR="00EB020A">
        <w:rPr>
          <w:sz w:val="28"/>
          <w:szCs w:val="28"/>
          <w:lang w:val="uk-UA"/>
        </w:rPr>
        <w:t>0,0807</w:t>
      </w:r>
      <w:r>
        <w:rPr>
          <w:sz w:val="28"/>
          <w:szCs w:val="28"/>
          <w:lang w:val="uk-UA"/>
        </w:rPr>
        <w:t xml:space="preserve"> га, кадастровий номер </w:t>
      </w:r>
      <w:r w:rsidR="00D07F5F" w:rsidRPr="00D07F5F">
        <w:rPr>
          <w:sz w:val="28"/>
          <w:szCs w:val="28"/>
        </w:rPr>
        <w:t>_____________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EB020A">
        <w:rPr>
          <w:sz w:val="28"/>
          <w:szCs w:val="28"/>
          <w:lang w:val="uk-UA"/>
        </w:rPr>
        <w:t>Кошик-Маркет</w:t>
      </w:r>
      <w:r w:rsidR="00FA5CA3">
        <w:rPr>
          <w:sz w:val="28"/>
          <w:szCs w:val="28"/>
          <w:lang w:val="uk-UA"/>
        </w:rPr>
        <w:t xml:space="preserve">» </w:t>
      </w:r>
      <w:r w:rsidR="00DA1016">
        <w:rPr>
          <w:sz w:val="28"/>
          <w:szCs w:val="28"/>
          <w:lang w:val="uk-UA"/>
        </w:rPr>
        <w:t xml:space="preserve">вжити заходів для внесення змін </w:t>
      </w:r>
      <w:r w:rsidR="00DA1016">
        <w:rPr>
          <w:sz w:val="28"/>
          <w:szCs w:val="28"/>
          <w:lang w:val="uk-UA"/>
        </w:rPr>
        <w:lastRenderedPageBreak/>
        <w:t>до Державного земельного кадастру стосовно обмежень у використанні земельної ділянки, а саме: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7C0A2D">
        <w:rPr>
          <w:sz w:val="24"/>
          <w:szCs w:val="24"/>
          <w:lang w:val="uk-UA"/>
        </w:rPr>
        <w:t>Олена СТАРИНСЬКА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B020A" w:rsidRDefault="00EB020A" w:rsidP="00305AB3">
      <w:pPr>
        <w:ind w:right="174"/>
        <w:jc w:val="both"/>
        <w:rPr>
          <w:sz w:val="24"/>
          <w:szCs w:val="24"/>
          <w:lang w:val="uk-UA"/>
        </w:rPr>
      </w:pPr>
    </w:p>
    <w:p w:rsidR="00EB020A" w:rsidRDefault="00EB020A" w:rsidP="00305AB3">
      <w:pPr>
        <w:ind w:right="174"/>
        <w:jc w:val="both"/>
        <w:rPr>
          <w:sz w:val="24"/>
          <w:szCs w:val="24"/>
          <w:lang w:val="uk-UA"/>
        </w:rPr>
      </w:pPr>
    </w:p>
    <w:p w:rsidR="00EB020A" w:rsidRDefault="00EB020A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2D6DDE" w:rsidRDefault="002D6DDE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B020A" w:rsidRPr="008134BB">
        <w:rPr>
          <w:sz w:val="28"/>
          <w:szCs w:val="28"/>
          <w:lang w:val="uk-UA"/>
        </w:rPr>
        <w:t xml:space="preserve">Про </w:t>
      </w:r>
      <w:r w:rsidR="00EB020A">
        <w:rPr>
          <w:sz w:val="28"/>
          <w:szCs w:val="28"/>
          <w:lang w:val="uk-UA"/>
        </w:rPr>
        <w:t xml:space="preserve">надання Товариству з обмеженою відповідальністю «Кошик-Маркет» в оренду </w:t>
      </w:r>
      <w:r w:rsidR="00EB020A" w:rsidRPr="00250644">
        <w:rPr>
          <w:sz w:val="28"/>
          <w:szCs w:val="28"/>
          <w:lang w:val="uk-UA"/>
        </w:rPr>
        <w:t>земельн</w:t>
      </w:r>
      <w:r w:rsidR="00EB020A">
        <w:rPr>
          <w:sz w:val="28"/>
          <w:szCs w:val="28"/>
          <w:lang w:val="uk-UA"/>
        </w:rPr>
        <w:t>ої</w:t>
      </w:r>
      <w:r w:rsidR="00EB020A" w:rsidRPr="00250644">
        <w:rPr>
          <w:sz w:val="28"/>
          <w:szCs w:val="28"/>
          <w:lang w:val="uk-UA"/>
        </w:rPr>
        <w:t xml:space="preserve"> ділян</w:t>
      </w:r>
      <w:r w:rsidR="00EB020A">
        <w:rPr>
          <w:sz w:val="28"/>
          <w:szCs w:val="28"/>
          <w:lang w:val="uk-UA"/>
        </w:rPr>
        <w:t xml:space="preserve">ки за адресою: м. Суми,                                 </w:t>
      </w:r>
      <w:r w:rsidR="00D07F5F" w:rsidRPr="00D07F5F">
        <w:rPr>
          <w:sz w:val="28"/>
          <w:szCs w:val="28"/>
        </w:rPr>
        <w:t>___________</w:t>
      </w:r>
      <w:r w:rsidR="00EB020A">
        <w:rPr>
          <w:sz w:val="28"/>
          <w:szCs w:val="28"/>
          <w:lang w:val="uk-UA"/>
        </w:rPr>
        <w:t>площею 0,0807 га, кадастровий номер</w:t>
      </w:r>
      <w:r w:rsidR="00D07F5F">
        <w:rPr>
          <w:sz w:val="28"/>
          <w:szCs w:val="28"/>
          <w:lang w:val="en-US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C0A2D">
        <w:rPr>
          <w:sz w:val="28"/>
          <w:szCs w:val="28"/>
          <w:lang w:val="uk-UA"/>
        </w:rPr>
        <w:t xml:space="preserve"> 05 червня 2025 </w:t>
      </w:r>
      <w:r w:rsidRPr="008134BB">
        <w:rPr>
          <w:sz w:val="28"/>
          <w:szCs w:val="28"/>
          <w:lang w:val="uk-UA"/>
        </w:rPr>
        <w:t>року №</w:t>
      </w:r>
      <w:r w:rsidR="007C0A2D">
        <w:rPr>
          <w:sz w:val="28"/>
          <w:szCs w:val="28"/>
          <w:lang w:val="uk-UA"/>
        </w:rPr>
        <w:t xml:space="preserve"> 5622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DC1EE9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5B06FE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r w:rsidR="00D54762">
              <w:rPr>
                <w:color w:val="000000" w:themeColor="text1"/>
                <w:sz w:val="28"/>
                <w:szCs w:val="28"/>
                <w:lang w:val="uk-UA"/>
              </w:rPr>
              <w:t>Кошик-Маркет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D07F5F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D547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0,0807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26511F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5476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54762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D54762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D5476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7C0A2D">
        <w:rPr>
          <w:sz w:val="24"/>
          <w:szCs w:val="24"/>
          <w:lang w:val="uk-UA"/>
        </w:rPr>
        <w:t>Олена СТАРИНСЬКА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1A4D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11F"/>
    <w:rsid w:val="00265A4F"/>
    <w:rsid w:val="002676B9"/>
    <w:rsid w:val="002710FE"/>
    <w:rsid w:val="00276A33"/>
    <w:rsid w:val="002811EF"/>
    <w:rsid w:val="00286A79"/>
    <w:rsid w:val="00290645"/>
    <w:rsid w:val="002A03D8"/>
    <w:rsid w:val="002A2C37"/>
    <w:rsid w:val="002A62F6"/>
    <w:rsid w:val="002A6F0B"/>
    <w:rsid w:val="002B3961"/>
    <w:rsid w:val="002B5D43"/>
    <w:rsid w:val="002C4CDB"/>
    <w:rsid w:val="002C5BC3"/>
    <w:rsid w:val="002C618C"/>
    <w:rsid w:val="002D3A5E"/>
    <w:rsid w:val="002D6C1A"/>
    <w:rsid w:val="002D6DDE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16B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C0A2D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67DA2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07F5F"/>
    <w:rsid w:val="00D12A65"/>
    <w:rsid w:val="00D24437"/>
    <w:rsid w:val="00D250E9"/>
    <w:rsid w:val="00D26242"/>
    <w:rsid w:val="00D32038"/>
    <w:rsid w:val="00D36242"/>
    <w:rsid w:val="00D47083"/>
    <w:rsid w:val="00D54762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1EE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B020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46ADA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85F2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D6194-17CB-4950-9AEB-749B9847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3</cp:revision>
  <cp:lastPrinted>2025-06-06T08:15:00Z</cp:lastPrinted>
  <dcterms:created xsi:type="dcterms:W3CDTF">2026-03-04T06:56:00Z</dcterms:created>
  <dcterms:modified xsi:type="dcterms:W3CDTF">2026-03-04T06:57:00Z</dcterms:modified>
</cp:coreProperties>
</file>