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731" w:rsidRDefault="00E83731" w:rsidP="004A4235">
      <w:pPr>
        <w:widowControl w:val="0"/>
        <w:tabs>
          <w:tab w:val="left" w:pos="566"/>
        </w:tabs>
        <w:autoSpaceDE w:val="0"/>
        <w:autoSpaceDN w:val="0"/>
        <w:adjustRightInd w:val="0"/>
        <w:jc w:val="both"/>
        <w:rPr>
          <w:bCs/>
          <w:sz w:val="20"/>
          <w:szCs w:val="20"/>
        </w:rPr>
      </w:pPr>
      <w:bookmarkStart w:id="0" w:name="_GoBack"/>
      <w:bookmarkEnd w:id="0"/>
    </w:p>
    <w:p w:rsidR="004A4235" w:rsidRDefault="004A4235" w:rsidP="004A4235">
      <w:pPr>
        <w:widowControl w:val="0"/>
        <w:tabs>
          <w:tab w:val="left" w:pos="566"/>
        </w:tabs>
        <w:autoSpaceDE w:val="0"/>
        <w:autoSpaceDN w:val="0"/>
        <w:adjustRightInd w:val="0"/>
        <w:jc w:val="both"/>
        <w:rPr>
          <w:bCs/>
          <w:sz w:val="18"/>
          <w:szCs w:val="18"/>
        </w:rPr>
      </w:pPr>
    </w:p>
    <w:p w:rsidR="007D0EC3" w:rsidRDefault="007D0EC3" w:rsidP="00E83731">
      <w:pPr>
        <w:widowControl w:val="0"/>
        <w:tabs>
          <w:tab w:val="left" w:pos="566"/>
        </w:tabs>
        <w:autoSpaceDE w:val="0"/>
        <w:autoSpaceDN w:val="0"/>
        <w:adjustRightInd w:val="0"/>
        <w:jc w:val="both"/>
        <w:rPr>
          <w:bCs/>
          <w:sz w:val="18"/>
          <w:szCs w:val="18"/>
        </w:rPr>
      </w:pPr>
    </w:p>
    <w:p w:rsidR="007D0EC3" w:rsidRDefault="007D0EC3" w:rsidP="00E83731">
      <w:pPr>
        <w:widowControl w:val="0"/>
        <w:tabs>
          <w:tab w:val="left" w:pos="566"/>
        </w:tabs>
        <w:autoSpaceDE w:val="0"/>
        <w:autoSpaceDN w:val="0"/>
        <w:adjustRightInd w:val="0"/>
        <w:jc w:val="both"/>
        <w:rPr>
          <w:bCs/>
          <w:sz w:val="18"/>
          <w:szCs w:val="18"/>
        </w:rPr>
      </w:pPr>
    </w:p>
    <w:tbl>
      <w:tblPr>
        <w:tblW w:w="0" w:type="auto"/>
        <w:tblLook w:val="01E0" w:firstRow="1" w:lastRow="1" w:firstColumn="1" w:lastColumn="1" w:noHBand="0" w:noVBand="0"/>
      </w:tblPr>
      <w:tblGrid>
        <w:gridCol w:w="4678"/>
        <w:gridCol w:w="4786"/>
      </w:tblGrid>
      <w:tr w:rsidR="00E83731" w:rsidRPr="007D0EC3" w:rsidTr="00180CBC">
        <w:trPr>
          <w:trHeight w:val="839"/>
        </w:trPr>
        <w:tc>
          <w:tcPr>
            <w:tcW w:w="4678" w:type="dxa"/>
          </w:tcPr>
          <w:p w:rsidR="00E83731" w:rsidRPr="007D0EC3" w:rsidRDefault="00E83731" w:rsidP="00935089">
            <w:pPr>
              <w:spacing w:after="120" w:line="480" w:lineRule="auto"/>
              <w:jc w:val="both"/>
              <w:rPr>
                <w:bCs/>
                <w:sz w:val="28"/>
                <w:szCs w:val="28"/>
              </w:rPr>
            </w:pPr>
            <w:r w:rsidRPr="007D0EC3">
              <w:rPr>
                <w:bCs/>
                <w:sz w:val="28"/>
                <w:szCs w:val="28"/>
              </w:rPr>
              <w:br w:type="page"/>
            </w:r>
            <w:r w:rsidRPr="007D0EC3">
              <w:rPr>
                <w:bCs/>
                <w:sz w:val="28"/>
                <w:szCs w:val="28"/>
              </w:rPr>
              <w:br w:type="page"/>
            </w:r>
            <w:r w:rsidRPr="007D0EC3">
              <w:rPr>
                <w:bCs/>
                <w:sz w:val="28"/>
                <w:szCs w:val="28"/>
              </w:rPr>
              <w:br w:type="page"/>
            </w:r>
            <w:r w:rsidRPr="007D0EC3">
              <w:rPr>
                <w:bCs/>
                <w:sz w:val="28"/>
                <w:szCs w:val="28"/>
              </w:rPr>
              <w:br w:type="page"/>
            </w:r>
            <w:r w:rsidRPr="007D0EC3">
              <w:rPr>
                <w:bCs/>
                <w:sz w:val="28"/>
                <w:szCs w:val="28"/>
              </w:rPr>
              <w:br w:type="page"/>
            </w:r>
          </w:p>
        </w:tc>
        <w:tc>
          <w:tcPr>
            <w:tcW w:w="4786" w:type="dxa"/>
          </w:tcPr>
          <w:p w:rsidR="00E83731" w:rsidRPr="007D0EC3" w:rsidRDefault="00E83731" w:rsidP="00935089">
            <w:pPr>
              <w:jc w:val="center"/>
              <w:rPr>
                <w:sz w:val="28"/>
                <w:szCs w:val="28"/>
              </w:rPr>
            </w:pPr>
            <w:r w:rsidRPr="007D0EC3">
              <w:rPr>
                <w:sz w:val="28"/>
                <w:szCs w:val="28"/>
              </w:rPr>
              <w:t>Додаток</w:t>
            </w:r>
          </w:p>
          <w:p w:rsidR="00E83731" w:rsidRPr="007D0EC3" w:rsidRDefault="00E83731" w:rsidP="00935089">
            <w:pPr>
              <w:jc w:val="both"/>
              <w:rPr>
                <w:sz w:val="28"/>
                <w:szCs w:val="28"/>
              </w:rPr>
            </w:pPr>
            <w:r w:rsidRPr="007D0EC3">
              <w:rPr>
                <w:sz w:val="28"/>
                <w:szCs w:val="28"/>
              </w:rPr>
              <w:t>до рішення Сумської міської ради                    «</w:t>
            </w:r>
            <w:r w:rsidRPr="007D0EC3">
              <w:rPr>
                <w:bCs/>
                <w:sz w:val="28"/>
                <w:szCs w:val="28"/>
              </w:rPr>
              <w:t xml:space="preserve">Про хід виконання Цільової програми капітального ремонту, модернізації, заміни та диспетчеризації ліфтів на </w:t>
            </w:r>
            <w:r w:rsidR="003D4034">
              <w:rPr>
                <w:bCs/>
                <w:sz w:val="28"/>
                <w:szCs w:val="28"/>
              </w:rPr>
              <w:t xml:space="preserve">                         </w:t>
            </w:r>
            <w:r w:rsidRPr="007D0EC3">
              <w:rPr>
                <w:bCs/>
                <w:sz w:val="28"/>
                <w:szCs w:val="28"/>
              </w:rPr>
              <w:t>2022-2024 роки, затвердженої рішенням Сумської міської ради від   26 січня 2022 року № 2717-МР, за підсумками  2023 року</w:t>
            </w:r>
            <w:r w:rsidRPr="007D0EC3">
              <w:rPr>
                <w:sz w:val="28"/>
                <w:szCs w:val="28"/>
              </w:rPr>
              <w:t>»</w:t>
            </w:r>
          </w:p>
          <w:p w:rsidR="00E83731" w:rsidRPr="007D0EC3" w:rsidRDefault="00E83731" w:rsidP="00935089">
            <w:pPr>
              <w:jc w:val="both"/>
              <w:rPr>
                <w:sz w:val="28"/>
                <w:szCs w:val="28"/>
              </w:rPr>
            </w:pPr>
            <w:r w:rsidRPr="007D0EC3">
              <w:rPr>
                <w:sz w:val="28"/>
                <w:szCs w:val="28"/>
              </w:rPr>
              <w:t>від</w:t>
            </w:r>
            <w:r w:rsidR="003D4034">
              <w:rPr>
                <w:sz w:val="28"/>
                <w:szCs w:val="28"/>
              </w:rPr>
              <w:t xml:space="preserve"> 05 червня</w:t>
            </w:r>
            <w:r w:rsidRPr="007D0EC3">
              <w:rPr>
                <w:sz w:val="28"/>
                <w:szCs w:val="28"/>
              </w:rPr>
              <w:t xml:space="preserve"> </w:t>
            </w:r>
            <w:r w:rsidR="003D4034">
              <w:rPr>
                <w:sz w:val="28"/>
                <w:szCs w:val="28"/>
              </w:rPr>
              <w:t>2025</w:t>
            </w:r>
            <w:r w:rsidRPr="007D0EC3">
              <w:rPr>
                <w:sz w:val="28"/>
                <w:szCs w:val="28"/>
              </w:rPr>
              <w:t xml:space="preserve"> року №</w:t>
            </w:r>
            <w:r w:rsidR="00180CBC">
              <w:rPr>
                <w:sz w:val="28"/>
                <w:szCs w:val="28"/>
              </w:rPr>
              <w:t xml:space="preserve"> </w:t>
            </w:r>
            <w:r w:rsidR="003D4034">
              <w:rPr>
                <w:sz w:val="28"/>
                <w:szCs w:val="28"/>
              </w:rPr>
              <w:t>5808</w:t>
            </w:r>
            <w:r w:rsidRPr="007D0EC3">
              <w:rPr>
                <w:sz w:val="28"/>
                <w:szCs w:val="28"/>
              </w:rPr>
              <w:t xml:space="preserve"> – МР</w:t>
            </w:r>
          </w:p>
          <w:p w:rsidR="00E83731" w:rsidRPr="007D0EC3" w:rsidRDefault="00E83731" w:rsidP="00935089">
            <w:pPr>
              <w:jc w:val="center"/>
              <w:rPr>
                <w:sz w:val="28"/>
                <w:szCs w:val="28"/>
              </w:rPr>
            </w:pPr>
          </w:p>
        </w:tc>
      </w:tr>
    </w:tbl>
    <w:p w:rsidR="00E83731" w:rsidRPr="007D0EC3" w:rsidRDefault="00E83731" w:rsidP="00E83731">
      <w:pPr>
        <w:widowControl w:val="0"/>
        <w:tabs>
          <w:tab w:val="left" w:pos="566"/>
        </w:tabs>
        <w:autoSpaceDE w:val="0"/>
        <w:autoSpaceDN w:val="0"/>
        <w:adjustRightInd w:val="0"/>
        <w:ind w:firstLine="696"/>
        <w:jc w:val="both"/>
        <w:rPr>
          <w:bCs/>
          <w:sz w:val="28"/>
          <w:szCs w:val="28"/>
        </w:rPr>
      </w:pPr>
    </w:p>
    <w:p w:rsidR="00E83731" w:rsidRPr="007D0EC3" w:rsidRDefault="00E83731" w:rsidP="00E83731">
      <w:pPr>
        <w:spacing w:line="228" w:lineRule="auto"/>
        <w:ind w:firstLine="709"/>
        <w:jc w:val="center"/>
        <w:rPr>
          <w:b/>
          <w:bCs/>
          <w:sz w:val="28"/>
          <w:szCs w:val="28"/>
        </w:rPr>
      </w:pPr>
      <w:r w:rsidRPr="007D0EC3">
        <w:rPr>
          <w:b/>
          <w:bCs/>
          <w:sz w:val="28"/>
          <w:szCs w:val="28"/>
        </w:rPr>
        <w:t xml:space="preserve">Інформація </w:t>
      </w:r>
    </w:p>
    <w:p w:rsidR="00E83731" w:rsidRPr="007D0EC3" w:rsidRDefault="00E83731" w:rsidP="00E83731">
      <w:pPr>
        <w:spacing w:line="228" w:lineRule="auto"/>
        <w:ind w:firstLine="709"/>
        <w:jc w:val="center"/>
        <w:rPr>
          <w:b/>
          <w:bCs/>
          <w:sz w:val="28"/>
          <w:szCs w:val="28"/>
        </w:rPr>
      </w:pPr>
      <w:r w:rsidRPr="007D0EC3">
        <w:rPr>
          <w:b/>
          <w:bCs/>
          <w:sz w:val="28"/>
          <w:szCs w:val="28"/>
        </w:rPr>
        <w:t xml:space="preserve">про стан виконання Цільової програми капітального ремонту, модернізації, заміни та диспетчеризації ліфтів на 2022-2024 роки, затвердженої рішенням Сумської міської ради від   26 січня 2022 року </w:t>
      </w:r>
      <w:r w:rsidR="007D457C">
        <w:rPr>
          <w:b/>
          <w:bCs/>
          <w:sz w:val="28"/>
          <w:szCs w:val="28"/>
        </w:rPr>
        <w:t xml:space="preserve">              </w:t>
      </w:r>
      <w:r w:rsidRPr="007D0EC3">
        <w:rPr>
          <w:b/>
          <w:bCs/>
          <w:sz w:val="28"/>
          <w:szCs w:val="28"/>
        </w:rPr>
        <w:t>№ 2717-МР, за підсумками 2023 року</w:t>
      </w:r>
    </w:p>
    <w:p w:rsidR="00E83731" w:rsidRPr="007D0EC3" w:rsidRDefault="00E83731" w:rsidP="00E83731">
      <w:pPr>
        <w:spacing w:line="228" w:lineRule="auto"/>
        <w:ind w:firstLine="709"/>
        <w:jc w:val="center"/>
        <w:rPr>
          <w:bCs/>
          <w:sz w:val="28"/>
          <w:szCs w:val="28"/>
        </w:rPr>
      </w:pPr>
    </w:p>
    <w:p w:rsidR="001F3A30" w:rsidRPr="004E1A39" w:rsidRDefault="001F3A30" w:rsidP="001F3A30">
      <w:pPr>
        <w:spacing w:line="276" w:lineRule="auto"/>
        <w:ind w:firstLine="708"/>
        <w:jc w:val="both"/>
        <w:rPr>
          <w:sz w:val="28"/>
          <w:szCs w:val="28"/>
        </w:rPr>
      </w:pPr>
      <w:r w:rsidRPr="004E1A39">
        <w:rPr>
          <w:sz w:val="28"/>
          <w:szCs w:val="28"/>
        </w:rPr>
        <w:t>Однією з пріоритетних задач Департаменту інфраструктури міста Сумської міської ради згідно Цільової програми капітального ремонту, модернізації, заміни та диспетчеризації ліфтів є забезпечення безперебійної роботи ліфтів у місті Суми.</w:t>
      </w:r>
    </w:p>
    <w:p w:rsidR="001F3A30" w:rsidRPr="004E1A39" w:rsidRDefault="001F3A30" w:rsidP="001F3A30">
      <w:pPr>
        <w:spacing w:line="276" w:lineRule="auto"/>
        <w:ind w:firstLine="708"/>
        <w:jc w:val="both"/>
        <w:rPr>
          <w:sz w:val="28"/>
          <w:szCs w:val="28"/>
        </w:rPr>
      </w:pPr>
      <w:r w:rsidRPr="004E1A39">
        <w:rPr>
          <w:sz w:val="28"/>
          <w:szCs w:val="28"/>
        </w:rPr>
        <w:t xml:space="preserve">Цільовою програмою капітального ремонту, модернізації, заміни та диспетчеризації ліфтів у місті Суми на 2023 рік передбачено обсяг коштів у сумі 250,00 тис. грн., в тому числі на:         </w:t>
      </w:r>
    </w:p>
    <w:p w:rsidR="001F3A30" w:rsidRPr="004E1A39" w:rsidRDefault="001F3A30" w:rsidP="001F3A30">
      <w:pPr>
        <w:numPr>
          <w:ilvl w:val="0"/>
          <w:numId w:val="1"/>
        </w:numPr>
        <w:spacing w:line="276" w:lineRule="auto"/>
        <w:contextualSpacing/>
        <w:jc w:val="both"/>
        <w:rPr>
          <w:color w:val="000000"/>
          <w:sz w:val="28"/>
          <w:szCs w:val="28"/>
        </w:rPr>
      </w:pPr>
      <w:r w:rsidRPr="004E1A39">
        <w:rPr>
          <w:color w:val="000000"/>
          <w:sz w:val="28"/>
          <w:szCs w:val="28"/>
        </w:rPr>
        <w:t>проведення капітального ремонту, модернізації, заміни та диспетчеризації ліфтів  – 200,00</w:t>
      </w:r>
      <w:r w:rsidRPr="004E1A39">
        <w:rPr>
          <w:sz w:val="28"/>
          <w:szCs w:val="28"/>
        </w:rPr>
        <w:t xml:space="preserve"> тис. грн. (в тому числі бюджет територіальної громади – 150,00 тис. грн. та інші джерела/ залучені кошти з джерел, не заборонених чинним законодавством України (власні кошти) – 50 тис. грн.;</w:t>
      </w:r>
    </w:p>
    <w:p w:rsidR="001F3A30" w:rsidRPr="004E1A39" w:rsidRDefault="001F3A30" w:rsidP="001F3A30">
      <w:pPr>
        <w:numPr>
          <w:ilvl w:val="0"/>
          <w:numId w:val="1"/>
        </w:numPr>
        <w:spacing w:line="276" w:lineRule="auto"/>
        <w:contextualSpacing/>
        <w:jc w:val="both"/>
        <w:rPr>
          <w:color w:val="000000"/>
          <w:sz w:val="28"/>
          <w:szCs w:val="28"/>
        </w:rPr>
      </w:pPr>
      <w:r w:rsidRPr="004E1A39">
        <w:rPr>
          <w:color w:val="000000"/>
          <w:sz w:val="28"/>
          <w:szCs w:val="28"/>
        </w:rPr>
        <w:t xml:space="preserve">проведення експертного обстеження (технічного діагностування)           ліфтів – 50,00 </w:t>
      </w:r>
      <w:proofErr w:type="spellStart"/>
      <w:r w:rsidRPr="004E1A39">
        <w:rPr>
          <w:color w:val="000000"/>
          <w:sz w:val="28"/>
          <w:szCs w:val="28"/>
        </w:rPr>
        <w:t>тис.грн</w:t>
      </w:r>
      <w:proofErr w:type="spellEnd"/>
      <w:r w:rsidRPr="004E1A39">
        <w:rPr>
          <w:color w:val="000000"/>
          <w:sz w:val="28"/>
          <w:szCs w:val="28"/>
        </w:rPr>
        <w:t xml:space="preserve">.  </w:t>
      </w:r>
    </w:p>
    <w:p w:rsidR="001F3A30" w:rsidRPr="00A04B91" w:rsidRDefault="001F3A30" w:rsidP="001F3A30">
      <w:pPr>
        <w:spacing w:line="276" w:lineRule="auto"/>
        <w:ind w:firstLine="708"/>
        <w:jc w:val="both"/>
        <w:rPr>
          <w:sz w:val="28"/>
          <w:szCs w:val="28"/>
        </w:rPr>
      </w:pPr>
      <w:r w:rsidRPr="004E1A39">
        <w:rPr>
          <w:color w:val="000000"/>
          <w:sz w:val="28"/>
          <w:szCs w:val="28"/>
        </w:rPr>
        <w:t xml:space="preserve">Відповідно до затверджених обсягів призначень на виконання програми за 2023 рік спрямовано кошти у сумі </w:t>
      </w:r>
      <w:r>
        <w:rPr>
          <w:color w:val="000000"/>
          <w:sz w:val="28"/>
          <w:szCs w:val="28"/>
        </w:rPr>
        <w:t>2</w:t>
      </w:r>
      <w:r>
        <w:rPr>
          <w:sz w:val="28"/>
          <w:szCs w:val="28"/>
        </w:rPr>
        <w:t>00</w:t>
      </w:r>
      <w:r w:rsidRPr="004E1A39">
        <w:rPr>
          <w:sz w:val="28"/>
          <w:szCs w:val="28"/>
        </w:rPr>
        <w:t>,00 </w:t>
      </w:r>
      <w:proofErr w:type="spellStart"/>
      <w:r w:rsidRPr="004E1A39">
        <w:rPr>
          <w:sz w:val="28"/>
          <w:szCs w:val="28"/>
        </w:rPr>
        <w:t>тис.грн</w:t>
      </w:r>
      <w:proofErr w:type="spellEnd"/>
      <w:r w:rsidRPr="004E1A39">
        <w:rPr>
          <w:sz w:val="28"/>
          <w:szCs w:val="28"/>
        </w:rPr>
        <w:t xml:space="preserve">. Фактичне виконання склало 199,57 тис. грн. на </w:t>
      </w:r>
      <w:r w:rsidRPr="004E1A39">
        <w:rPr>
          <w:color w:val="000000"/>
          <w:sz w:val="28"/>
          <w:szCs w:val="28"/>
        </w:rPr>
        <w:t>проведення капітального ремонту, модернізації, з</w:t>
      </w:r>
      <w:r>
        <w:rPr>
          <w:color w:val="000000"/>
          <w:sz w:val="28"/>
          <w:szCs w:val="28"/>
        </w:rPr>
        <w:t xml:space="preserve">аміни та диспетчеризації ліфтів, в тому числі за кошти міського бюджету – 150,00 тис. грн. та </w:t>
      </w:r>
      <w:r>
        <w:rPr>
          <w:sz w:val="28"/>
          <w:szCs w:val="28"/>
        </w:rPr>
        <w:t>інші джерела/</w:t>
      </w:r>
      <w:r w:rsidRPr="004E1A39">
        <w:rPr>
          <w:sz w:val="28"/>
          <w:szCs w:val="28"/>
        </w:rPr>
        <w:t>залучені кошти з джерел, не заборонених чинним законодавством України (власні кошти)</w:t>
      </w:r>
      <w:r>
        <w:rPr>
          <w:sz w:val="28"/>
          <w:szCs w:val="28"/>
        </w:rPr>
        <w:t xml:space="preserve"> - </w:t>
      </w:r>
      <w:r>
        <w:rPr>
          <w:color w:val="000000"/>
          <w:sz w:val="28"/>
          <w:szCs w:val="28"/>
        </w:rPr>
        <w:t xml:space="preserve">49,57 тис. грн. </w:t>
      </w:r>
    </w:p>
    <w:p w:rsidR="007D0EC3" w:rsidRDefault="001F3A30" w:rsidP="001F3A30">
      <w:pPr>
        <w:spacing w:line="228" w:lineRule="auto"/>
        <w:ind w:firstLine="709"/>
        <w:jc w:val="both"/>
        <w:rPr>
          <w:bCs/>
        </w:rPr>
      </w:pPr>
      <w:r w:rsidRPr="004E1A39">
        <w:rPr>
          <w:sz w:val="28"/>
          <w:szCs w:val="28"/>
        </w:rPr>
        <w:t>У 2023 році проведена оплата за виконані роботи з капітального ремонту 1 ліфта у 2022 році, які станом на 01.01.2023 р. були не оплачені</w:t>
      </w:r>
    </w:p>
    <w:p w:rsidR="007D0EC3" w:rsidRDefault="007D0EC3" w:rsidP="007D0EC3">
      <w:pPr>
        <w:spacing w:line="228" w:lineRule="auto"/>
        <w:ind w:firstLine="709"/>
        <w:jc w:val="both"/>
        <w:rPr>
          <w:bCs/>
        </w:rPr>
      </w:pPr>
    </w:p>
    <w:p w:rsidR="007D0EC3" w:rsidRDefault="007D0EC3" w:rsidP="007D0EC3">
      <w:pPr>
        <w:spacing w:line="228" w:lineRule="auto"/>
        <w:ind w:firstLine="709"/>
        <w:jc w:val="both"/>
        <w:rPr>
          <w:bCs/>
        </w:rPr>
      </w:pPr>
    </w:p>
    <w:p w:rsidR="007D0EC3" w:rsidRDefault="007D0EC3" w:rsidP="007D0EC3">
      <w:pPr>
        <w:rPr>
          <w:sz w:val="28"/>
          <w:szCs w:val="28"/>
        </w:rPr>
      </w:pPr>
      <w:r w:rsidRPr="007D0EC3">
        <w:rPr>
          <w:sz w:val="28"/>
          <w:szCs w:val="28"/>
        </w:rPr>
        <w:t>Секретар Су</w:t>
      </w:r>
      <w:r>
        <w:rPr>
          <w:sz w:val="28"/>
          <w:szCs w:val="28"/>
        </w:rPr>
        <w:t xml:space="preserve">мської міської ради                      </w:t>
      </w:r>
      <w:r w:rsidRPr="007D0EC3">
        <w:rPr>
          <w:sz w:val="28"/>
          <w:szCs w:val="28"/>
        </w:rPr>
        <w:t xml:space="preserve">                            </w:t>
      </w:r>
      <w:r>
        <w:rPr>
          <w:sz w:val="28"/>
          <w:szCs w:val="28"/>
        </w:rPr>
        <w:t xml:space="preserve">  </w:t>
      </w:r>
      <w:r w:rsidRPr="007D0EC3">
        <w:rPr>
          <w:sz w:val="28"/>
          <w:szCs w:val="28"/>
        </w:rPr>
        <w:t xml:space="preserve"> Артем КОБЗАР</w:t>
      </w:r>
    </w:p>
    <w:p w:rsidR="007D0EC3" w:rsidRPr="007D0EC3" w:rsidRDefault="007D0EC3" w:rsidP="007D0EC3">
      <w:pPr>
        <w:widowControl w:val="0"/>
        <w:tabs>
          <w:tab w:val="left" w:pos="566"/>
        </w:tabs>
        <w:autoSpaceDE w:val="0"/>
        <w:autoSpaceDN w:val="0"/>
        <w:adjustRightInd w:val="0"/>
        <w:rPr>
          <w:sz w:val="20"/>
          <w:szCs w:val="20"/>
        </w:rPr>
      </w:pPr>
      <w:r w:rsidRPr="007D0EC3">
        <w:rPr>
          <w:sz w:val="20"/>
          <w:szCs w:val="20"/>
        </w:rPr>
        <w:t xml:space="preserve">Виконавець: </w:t>
      </w:r>
      <w:r w:rsidR="003D4034">
        <w:rPr>
          <w:sz w:val="20"/>
          <w:szCs w:val="20"/>
        </w:rPr>
        <w:t>Євген БРОВЕНКО</w:t>
      </w:r>
    </w:p>
    <w:p w:rsidR="007D0EC3" w:rsidRDefault="007D0EC3" w:rsidP="007D0EC3">
      <w:pPr>
        <w:widowControl w:val="0"/>
        <w:tabs>
          <w:tab w:val="left" w:pos="566"/>
        </w:tabs>
        <w:autoSpaceDE w:val="0"/>
        <w:autoSpaceDN w:val="0"/>
        <w:adjustRightInd w:val="0"/>
        <w:rPr>
          <w:bCs/>
          <w:sz w:val="20"/>
          <w:szCs w:val="20"/>
        </w:rPr>
      </w:pPr>
    </w:p>
    <w:p w:rsidR="00B6052B" w:rsidRDefault="00B6052B" w:rsidP="007D0EC3">
      <w:pPr>
        <w:widowControl w:val="0"/>
        <w:tabs>
          <w:tab w:val="left" w:pos="566"/>
        </w:tabs>
        <w:autoSpaceDE w:val="0"/>
        <w:autoSpaceDN w:val="0"/>
        <w:adjustRightInd w:val="0"/>
        <w:rPr>
          <w:bCs/>
          <w:sz w:val="20"/>
          <w:szCs w:val="20"/>
        </w:rPr>
      </w:pPr>
    </w:p>
    <w:sectPr w:rsidR="00B6052B" w:rsidSect="00F4516A">
      <w:pgSz w:w="11906" w:h="16838"/>
      <w:pgMar w:top="0" w:right="850" w:bottom="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D59F5"/>
    <w:multiLevelType w:val="hybridMultilevel"/>
    <w:tmpl w:val="AA6461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0E0"/>
    <w:rsid w:val="00180CBC"/>
    <w:rsid w:val="001D76DC"/>
    <w:rsid w:val="001F3A30"/>
    <w:rsid w:val="00245BDE"/>
    <w:rsid w:val="003C2D95"/>
    <w:rsid w:val="003D1F30"/>
    <w:rsid w:val="003D4034"/>
    <w:rsid w:val="003D5928"/>
    <w:rsid w:val="004A4235"/>
    <w:rsid w:val="005C263F"/>
    <w:rsid w:val="006745F6"/>
    <w:rsid w:val="006D75CE"/>
    <w:rsid w:val="007D0EC3"/>
    <w:rsid w:val="007D457C"/>
    <w:rsid w:val="008521C2"/>
    <w:rsid w:val="008B1610"/>
    <w:rsid w:val="008E1A87"/>
    <w:rsid w:val="008E1B7C"/>
    <w:rsid w:val="00905ED7"/>
    <w:rsid w:val="00960BEF"/>
    <w:rsid w:val="00A24FE8"/>
    <w:rsid w:val="00A2596E"/>
    <w:rsid w:val="00A6396C"/>
    <w:rsid w:val="00AF76AA"/>
    <w:rsid w:val="00B6052B"/>
    <w:rsid w:val="00B76E49"/>
    <w:rsid w:val="00C07F15"/>
    <w:rsid w:val="00D534AB"/>
    <w:rsid w:val="00DF0305"/>
    <w:rsid w:val="00DF5DDB"/>
    <w:rsid w:val="00E427C0"/>
    <w:rsid w:val="00E83731"/>
    <w:rsid w:val="00ED0316"/>
    <w:rsid w:val="00EE10E0"/>
    <w:rsid w:val="00F45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31DA7"/>
  <w15:chartTrackingRefBased/>
  <w15:docId w15:val="{337C2F66-D099-4AC1-A4E1-DCD641E5A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731"/>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Основний текст, Знак2, Знак1 Знак1 Знак Зн"/>
    <w:basedOn w:val="a"/>
    <w:link w:val="a4"/>
    <w:uiPriority w:val="99"/>
    <w:rsid w:val="00E83731"/>
    <w:pPr>
      <w:tabs>
        <w:tab w:val="left" w:pos="1560"/>
      </w:tabs>
      <w:jc w:val="both"/>
    </w:pPr>
    <w:rPr>
      <w:sz w:val="28"/>
    </w:rPr>
  </w:style>
  <w:style w:type="character" w:customStyle="1" w:styleId="a4">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0"/>
    <w:link w:val="a3"/>
    <w:uiPriority w:val="99"/>
    <w:rsid w:val="00E83731"/>
    <w:rPr>
      <w:rFonts w:ascii="Times New Roman" w:eastAsia="Times New Roman" w:hAnsi="Times New Roman" w:cs="Times New Roman"/>
      <w:sz w:val="28"/>
      <w:szCs w:val="24"/>
      <w:lang w:val="uk-UA" w:eastAsia="ru-RU"/>
    </w:rPr>
  </w:style>
  <w:style w:type="paragraph" w:styleId="a5">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
    <w:link w:val="1"/>
    <w:rsid w:val="00E83731"/>
    <w:pPr>
      <w:widowControl w:val="0"/>
      <w:tabs>
        <w:tab w:val="center" w:pos="4677"/>
        <w:tab w:val="right" w:pos="9355"/>
      </w:tabs>
      <w:autoSpaceDE w:val="0"/>
      <w:autoSpaceDN w:val="0"/>
      <w:adjustRightInd w:val="0"/>
    </w:pPr>
    <w:rPr>
      <w:sz w:val="20"/>
      <w:szCs w:val="20"/>
      <w:lang w:val="ru-RU"/>
    </w:rPr>
  </w:style>
  <w:style w:type="character" w:customStyle="1" w:styleId="a6">
    <w:name w:val="Верхний колонтитул Знак"/>
    <w:basedOn w:val="a0"/>
    <w:uiPriority w:val="99"/>
    <w:semiHidden/>
    <w:rsid w:val="00E83731"/>
    <w:rPr>
      <w:rFonts w:ascii="Times New Roman" w:eastAsia="Times New Roman" w:hAnsi="Times New Roman" w:cs="Times New Roman"/>
      <w:sz w:val="24"/>
      <w:szCs w:val="24"/>
      <w:lang w:val="uk-UA"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
    <w:link w:val="a5"/>
    <w:rsid w:val="00E83731"/>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B76E49"/>
    <w:rPr>
      <w:rFonts w:ascii="Segoe UI" w:hAnsi="Segoe UI" w:cs="Segoe UI"/>
      <w:sz w:val="18"/>
      <w:szCs w:val="18"/>
    </w:rPr>
  </w:style>
  <w:style w:type="character" w:customStyle="1" w:styleId="a8">
    <w:name w:val="Текст выноски Знак"/>
    <w:basedOn w:val="a0"/>
    <w:link w:val="a7"/>
    <w:uiPriority w:val="99"/>
    <w:semiHidden/>
    <w:rsid w:val="00B76E49"/>
    <w:rPr>
      <w:rFonts w:ascii="Segoe UI" w:eastAsia="Times New Roman"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Буравкова Інна Олександрівна</dc:creator>
  <cp:keywords/>
  <dc:description/>
  <cp:lastModifiedBy>Буравкова Інна Олександрівна</cp:lastModifiedBy>
  <cp:revision>3</cp:revision>
  <cp:lastPrinted>2025-06-06T08:24:00Z</cp:lastPrinted>
  <dcterms:created xsi:type="dcterms:W3CDTF">2025-06-09T05:27:00Z</dcterms:created>
  <dcterms:modified xsi:type="dcterms:W3CDTF">2025-06-09T05:27:00Z</dcterms:modified>
</cp:coreProperties>
</file>