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en-US"/>
        </w:rPr>
        <w:t>LXXI</w:t>
      </w:r>
      <w:r w:rsidR="00A748FF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748FF">
        <w:rPr>
          <w:sz w:val="28"/>
          <w:szCs w:val="28"/>
          <w:lang w:val="uk-UA"/>
        </w:rPr>
        <w:t>5965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>Ващенку Віктору Миколайов</w:t>
            </w:r>
            <w:r w:rsidR="00815E9D">
              <w:rPr>
                <w:sz w:val="28"/>
                <w:szCs w:val="28"/>
                <w:lang w:val="uk-UA"/>
              </w:rPr>
              <w:t>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815E9D">
              <w:rPr>
                <w:sz w:val="28"/>
                <w:szCs w:val="28"/>
                <w:lang w:val="uk-UA"/>
              </w:rPr>
              <w:t>Івана Піддубного (Воєводіна)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15E9D">
              <w:rPr>
                <w:sz w:val="28"/>
                <w:szCs w:val="28"/>
                <w:lang w:val="uk-UA"/>
              </w:rPr>
              <w:t>4</w:t>
            </w:r>
            <w:r w:rsidR="0000067F">
              <w:rPr>
                <w:sz w:val="28"/>
                <w:szCs w:val="28"/>
                <w:lang w:val="uk-UA"/>
              </w:rPr>
              <w:t>,</w:t>
            </w:r>
            <w:r w:rsidR="00846195">
              <w:rPr>
                <w:sz w:val="28"/>
                <w:szCs w:val="28"/>
                <w:lang w:val="uk-UA"/>
              </w:rPr>
              <w:t xml:space="preserve"> площею 0,0542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815E9D">
              <w:rPr>
                <w:sz w:val="28"/>
                <w:szCs w:val="28"/>
                <w:lang w:val="uk-UA"/>
              </w:rPr>
              <w:t>300:15:003:017</w:t>
            </w:r>
            <w:r w:rsidR="00F2229F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від 12.05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BD5E55">
        <w:rPr>
          <w:sz w:val="28"/>
          <w:szCs w:val="28"/>
          <w:lang w:val="uk-UA"/>
        </w:rPr>
        <w:t>1574627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823B75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23B75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D5E55">
        <w:rPr>
          <w:sz w:val="28"/>
          <w:szCs w:val="28"/>
          <w:lang w:val="uk-UA"/>
        </w:rPr>
        <w:t xml:space="preserve">Ващенку Віктору Миколайовичу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BD5E55" w:rsidRPr="00BD5E55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Івана Піддубного (Воєводіна), 4, кадастровий номер 5910136300:15:003:0170, площею 0,0542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га, </w:t>
      </w:r>
      <w:r w:rsidR="00BD5E55">
        <w:rPr>
          <w:sz w:val="28"/>
          <w:szCs w:val="28"/>
          <w:lang w:val="uk-UA"/>
        </w:rPr>
        <w:t xml:space="preserve">Ващенку Віктору Миколайовичу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 w:rsidR="00BD5E55">
        <w:rPr>
          <w:sz w:val="28"/>
          <w:szCs w:val="28"/>
          <w:lang w:val="en-US"/>
        </w:rPr>
        <w:t>I</w:t>
      </w:r>
      <w:r w:rsidRPr="004101CA">
        <w:rPr>
          <w:sz w:val="28"/>
          <w:szCs w:val="28"/>
          <w:lang w:val="uk-UA"/>
        </w:rPr>
        <w:t>-</w:t>
      </w:r>
      <w:r w:rsidR="00BD5E55">
        <w:rPr>
          <w:sz w:val="28"/>
          <w:szCs w:val="28"/>
          <w:lang w:val="uk-UA"/>
        </w:rPr>
        <w:t>ІІІ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</w:t>
      </w:r>
      <w:r w:rsidRPr="003B78DA">
        <w:rPr>
          <w:sz w:val="28"/>
          <w:szCs w:val="28"/>
          <w:lang w:val="uk-UA"/>
        </w:rPr>
        <w:t>;</w:t>
      </w:r>
    </w:p>
    <w:p w:rsidR="004101C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095258" w:rsidRPr="003B78DA" w:rsidRDefault="00095258" w:rsidP="000952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 у порядку встановлення земельного сервітуту на землях комунальної власності, визначених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  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5258">
        <w:rPr>
          <w:sz w:val="28"/>
          <w:szCs w:val="28"/>
          <w:lang w:val="uk-UA"/>
        </w:rPr>
        <w:t>6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BD5E55">
        <w:rPr>
          <w:sz w:val="28"/>
          <w:szCs w:val="28"/>
          <w:lang w:val="uk-UA"/>
        </w:rPr>
        <w:t>Ващенку Віктору Миколайовичу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 xml:space="preserve">надання Ващенку Віктору Миколайовичу в оренду земельної ділянки за </w:t>
      </w:r>
      <w:proofErr w:type="spellStart"/>
      <w:r w:rsidR="00BD5E55">
        <w:rPr>
          <w:sz w:val="28"/>
          <w:szCs w:val="28"/>
          <w:lang w:val="uk-UA"/>
        </w:rPr>
        <w:t>адресою</w:t>
      </w:r>
      <w:proofErr w:type="spellEnd"/>
      <w:r w:rsidR="00BD5E55">
        <w:rPr>
          <w:sz w:val="28"/>
          <w:szCs w:val="28"/>
          <w:lang w:val="uk-UA"/>
        </w:rPr>
        <w:t xml:space="preserve">:  м. Суми,                                               вул. Івана Піддубного (Воєводіна), 4, кадастровий номер 5910136300:15:003:0170, площею 0,0542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748FF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A748FF">
        <w:rPr>
          <w:sz w:val="28"/>
          <w:szCs w:val="28"/>
          <w:lang w:val="uk-UA"/>
        </w:rPr>
        <w:t>5965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112D81" w:rsidRDefault="00BD5E55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Ващенко Віктор Миколайович</w:t>
            </w:r>
            <w:bookmarkStart w:id="0" w:name="_GoBack"/>
            <w:bookmarkEnd w:id="0"/>
          </w:p>
          <w:p w:rsidR="00A927F7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розміщеним виробничим приміщенням</w:t>
            </w:r>
          </w:p>
          <w:p w:rsidR="00580C7A" w:rsidRPr="00E245E7" w:rsidRDefault="00BD5E5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Івана Піддубного (Воєводіна), 4</w:t>
            </w:r>
          </w:p>
          <w:p w:rsidR="00580C7A" w:rsidRPr="00F44427" w:rsidRDefault="00BD5E55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5910136300:15:003:0170</w:t>
            </w:r>
          </w:p>
          <w:p w:rsidR="00512BBD" w:rsidRDefault="00BD5E55" w:rsidP="00512BBD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(номер запису про </w:t>
            </w:r>
            <w:r w:rsidR="00580C7A" w:rsidRPr="008B2F2F">
              <w:rPr>
                <w:sz w:val="28"/>
                <w:szCs w:val="28"/>
                <w:lang w:val="uk-UA"/>
              </w:rPr>
              <w:t>право</w:t>
            </w:r>
            <w:r>
              <w:rPr>
                <w:sz w:val="28"/>
                <w:szCs w:val="28"/>
                <w:lang w:val="uk-UA"/>
              </w:rPr>
              <w:t xml:space="preserve"> власності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>
              <w:rPr>
                <w:sz w:val="28"/>
                <w:szCs w:val="28"/>
                <w:lang w:val="uk-UA"/>
              </w:rPr>
              <w:t>1876096</w:t>
            </w:r>
            <w:r w:rsidR="00580C7A" w:rsidRPr="002C6F6E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29.07.2013</w:t>
            </w:r>
            <w:r w:rsidR="00580C7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нерухомого майна: 113231159101</w:t>
            </w:r>
            <w:r w:rsidR="00512BBD">
              <w:rPr>
                <w:sz w:val="28"/>
                <w:szCs w:val="28"/>
                <w:lang w:val="uk-UA"/>
              </w:rPr>
              <w:t xml:space="preserve">, загальною площею </w:t>
            </w:r>
          </w:p>
          <w:p w:rsidR="007833BC" w:rsidRDefault="00512BBD" w:rsidP="0009525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289,8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580C7A" w:rsidRPr="002C6F6E">
              <w:rPr>
                <w:sz w:val="28"/>
                <w:szCs w:val="28"/>
                <w:lang w:val="uk-UA"/>
              </w:rPr>
              <w:t>)</w:t>
            </w:r>
          </w:p>
          <w:p w:rsidR="00846195" w:rsidRPr="00F44427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BD5E5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0,0542</w:t>
            </w:r>
          </w:p>
          <w:p w:rsidR="00580C7A" w:rsidRDefault="00823B75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BD5E55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BD5E55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3C655B" w:rsidRPr="00F2229F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12D81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A750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748FF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88C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751FB-C5F8-4218-BDA4-1EF14E7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2025-09-30T11:00:00Z</cp:lastPrinted>
  <dcterms:created xsi:type="dcterms:W3CDTF">2025-10-07T08:19:00Z</dcterms:created>
  <dcterms:modified xsi:type="dcterms:W3CDTF">2025-10-07T08:19:00Z</dcterms:modified>
</cp:coreProperties>
</file>