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DC189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714D94">
        <w:rPr>
          <w:sz w:val="28"/>
          <w:szCs w:val="28"/>
          <w:lang w:val="en-US"/>
        </w:rPr>
        <w:t>LXXI</w:t>
      </w:r>
      <w:r w:rsidR="00714D94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CB2CA6" w:rsidRDefault="00305AB3" w:rsidP="00305AB3">
      <w:pPr>
        <w:rPr>
          <w:sz w:val="36"/>
          <w:szCs w:val="36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14D94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6C57D7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714D94">
        <w:rPr>
          <w:sz w:val="28"/>
          <w:szCs w:val="28"/>
          <w:lang w:val="uk-UA"/>
        </w:rPr>
        <w:t>5969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CB2CA6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84713E" w:rsidTr="00B156E6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8659B3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6C57D7">
              <w:rPr>
                <w:sz w:val="28"/>
                <w:szCs w:val="28"/>
                <w:lang w:val="uk-UA"/>
              </w:rPr>
              <w:t xml:space="preserve">Калініченко Ганні Василівні та Пекельній Наталії Юріївні </w:t>
            </w:r>
            <w:r w:rsidR="005F2086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74517E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74517E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4517E">
              <w:rPr>
                <w:sz w:val="28"/>
                <w:szCs w:val="28"/>
                <w:lang w:val="uk-UA"/>
              </w:rPr>
              <w:t xml:space="preserve">: м. </w:t>
            </w:r>
            <w:r w:rsidR="006C57D7">
              <w:rPr>
                <w:sz w:val="28"/>
                <w:szCs w:val="28"/>
                <w:lang w:val="uk-UA"/>
              </w:rPr>
              <w:t xml:space="preserve">Суми, </w:t>
            </w:r>
            <w:r w:rsidR="008659B3">
              <w:rPr>
                <w:sz w:val="28"/>
                <w:szCs w:val="28"/>
                <w:lang w:val="uk-UA"/>
              </w:rPr>
              <w:t>___________</w:t>
            </w:r>
            <w:r w:rsidR="00D40612">
              <w:rPr>
                <w:sz w:val="28"/>
                <w:szCs w:val="28"/>
                <w:lang w:val="uk-UA"/>
              </w:rPr>
              <w:t xml:space="preserve">площею </w:t>
            </w:r>
            <w:r w:rsidR="006C57D7">
              <w:rPr>
                <w:sz w:val="28"/>
                <w:szCs w:val="28"/>
                <w:lang w:val="uk-UA"/>
              </w:rPr>
              <w:t>0,0251</w:t>
            </w:r>
            <w:r w:rsidR="00D40612">
              <w:rPr>
                <w:sz w:val="28"/>
                <w:szCs w:val="28"/>
                <w:lang w:val="uk-UA"/>
              </w:rPr>
              <w:t xml:space="preserve"> га,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8659B3">
              <w:rPr>
                <w:sz w:val="28"/>
                <w:szCs w:val="28"/>
                <w:lang w:val="uk-UA"/>
              </w:rPr>
              <w:t>________________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84713E" w:rsidRDefault="0084713E" w:rsidP="006C57D7">
      <w:pPr>
        <w:jc w:val="both"/>
        <w:rPr>
          <w:sz w:val="28"/>
          <w:szCs w:val="28"/>
          <w:lang w:val="uk-UA"/>
        </w:rPr>
      </w:pPr>
    </w:p>
    <w:p w:rsidR="0074517E" w:rsidRDefault="0074517E" w:rsidP="00DD5184">
      <w:pPr>
        <w:ind w:firstLine="567"/>
        <w:jc w:val="both"/>
        <w:rPr>
          <w:sz w:val="28"/>
          <w:szCs w:val="28"/>
          <w:lang w:val="uk-UA"/>
        </w:rPr>
      </w:pPr>
    </w:p>
    <w:p w:rsidR="00B156E6" w:rsidRDefault="00B156E6" w:rsidP="00DD51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796962" w:rsidP="006C57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74517E">
        <w:rPr>
          <w:sz w:val="28"/>
          <w:szCs w:val="28"/>
          <w:lang w:val="uk-UA"/>
        </w:rPr>
        <w:t>громадян</w:t>
      </w:r>
      <w:r w:rsidR="006C57D7">
        <w:rPr>
          <w:sz w:val="28"/>
          <w:szCs w:val="28"/>
          <w:lang w:val="uk-UA"/>
        </w:rPr>
        <w:t xml:space="preserve"> від 10.03.2025 № 1547855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D40612">
        <w:rPr>
          <w:sz w:val="28"/>
          <w:szCs w:val="28"/>
          <w:lang w:val="uk-UA"/>
        </w:rPr>
        <w:t xml:space="preserve"> </w:t>
      </w:r>
      <w:r w:rsidR="008C3B8B">
        <w:rPr>
          <w:sz w:val="28"/>
          <w:szCs w:val="28"/>
          <w:lang w:val="uk-UA"/>
        </w:rPr>
        <w:t xml:space="preserve">частини першої </w:t>
      </w:r>
      <w:r w:rsidR="00D40612">
        <w:rPr>
          <w:sz w:val="28"/>
          <w:szCs w:val="28"/>
          <w:lang w:val="uk-UA"/>
        </w:rPr>
        <w:t>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 рекомендації</w:t>
      </w:r>
      <w:r w:rsidR="00540622" w:rsidRPr="007F0C33">
        <w:rPr>
          <w:sz w:val="28"/>
          <w:szCs w:val="28"/>
          <w:lang w:val="uk-UA"/>
        </w:rPr>
        <w:t xml:space="preserve"> засідан</w:t>
      </w:r>
      <w:r w:rsidR="00540622">
        <w:rPr>
          <w:sz w:val="28"/>
          <w:szCs w:val="28"/>
          <w:lang w:val="uk-UA"/>
        </w:rPr>
        <w:t>ня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0A3314">
        <w:rPr>
          <w:sz w:val="28"/>
          <w:szCs w:val="28"/>
          <w:lang w:val="uk-UA"/>
        </w:rPr>
        <w:t xml:space="preserve"> (протокол від </w:t>
      </w:r>
      <w:r w:rsidR="008A138E">
        <w:rPr>
          <w:sz w:val="28"/>
          <w:szCs w:val="28"/>
          <w:lang w:val="uk-UA"/>
        </w:rPr>
        <w:t>03 червня</w:t>
      </w:r>
      <w:r w:rsidR="00A56607">
        <w:rPr>
          <w:sz w:val="28"/>
          <w:szCs w:val="28"/>
          <w:lang w:val="uk-UA"/>
        </w:rPr>
        <w:t xml:space="preserve"> </w:t>
      </w:r>
      <w:r w:rsidR="006C57D7">
        <w:rPr>
          <w:sz w:val="28"/>
          <w:szCs w:val="28"/>
          <w:lang w:val="uk-UA"/>
        </w:rPr>
        <w:t>2025 року №</w:t>
      </w:r>
      <w:r w:rsidR="008A138E">
        <w:rPr>
          <w:sz w:val="28"/>
          <w:szCs w:val="28"/>
          <w:lang w:val="uk-UA"/>
        </w:rPr>
        <w:t xml:space="preserve"> 100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6C57D7" w:rsidRPr="006C57D7" w:rsidRDefault="006C57D7" w:rsidP="006C57D7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Pr="00CB2CA6" w:rsidRDefault="00DD5184" w:rsidP="00305AB3">
      <w:pPr>
        <w:spacing w:before="120"/>
        <w:jc w:val="center"/>
        <w:rPr>
          <w:b/>
          <w:sz w:val="36"/>
          <w:szCs w:val="36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40612">
        <w:rPr>
          <w:sz w:val="28"/>
          <w:szCs w:val="28"/>
          <w:lang w:val="uk-UA"/>
        </w:rPr>
        <w:t>Надати в оренду земельну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392466" w:rsidRPr="00953D75">
        <w:rPr>
          <w:sz w:val="28"/>
          <w:szCs w:val="28"/>
          <w:lang w:val="uk-UA"/>
        </w:rPr>
        <w:t>к</w:t>
      </w:r>
      <w:r w:rsidR="00D40612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згідно з додатком.</w:t>
      </w:r>
    </w:p>
    <w:p w:rsidR="00305AB3" w:rsidRDefault="00953D75" w:rsidP="00953D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305AB3">
        <w:rPr>
          <w:sz w:val="28"/>
          <w:szCs w:val="28"/>
          <w:lang w:val="uk-UA"/>
        </w:rPr>
        <w:t>6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953D75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D59DE">
        <w:rPr>
          <w:sz w:val="28"/>
          <w:szCs w:val="28"/>
          <w:lang w:val="uk-UA"/>
        </w:rPr>
        <w:t xml:space="preserve">Калініченко Ганні Василівні та Пекельній Наталії Юріївні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7150BD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6C57D7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  <w:r w:rsidR="006D59DE">
        <w:rPr>
          <w:sz w:val="28"/>
          <w:szCs w:val="28"/>
          <w:lang w:val="uk-UA"/>
        </w:rPr>
        <w:t xml:space="preserve"> </w:t>
      </w:r>
    </w:p>
    <w:p w:rsidR="006C57D7" w:rsidRPr="003B78DA" w:rsidRDefault="006C57D7" w:rsidP="006C57D7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8659B3">
        <w:rPr>
          <w:sz w:val="28"/>
          <w:szCs w:val="28"/>
          <w:lang w:val="uk-UA"/>
        </w:rPr>
        <w:t>___________</w:t>
      </w:r>
      <w:r w:rsidR="00B156E6">
        <w:rPr>
          <w:sz w:val="28"/>
          <w:szCs w:val="28"/>
          <w:lang w:val="uk-UA"/>
        </w:rPr>
        <w:t>площею 0,0251 га, кадастровий номер</w:t>
      </w:r>
      <w:r w:rsidR="008659B3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, </w:t>
      </w:r>
      <w:r w:rsidR="00B156E6">
        <w:rPr>
          <w:sz w:val="28"/>
          <w:szCs w:val="28"/>
          <w:lang w:val="uk-UA"/>
        </w:rPr>
        <w:t xml:space="preserve">Калініченко Ганні Василівні та Пекельній Наталії Юріївні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6C57D7" w:rsidRDefault="006C57D7" w:rsidP="001E3B42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 xml:space="preserve">- згідно з Планом червоних ліній магістральних вулиць м. Суми земельна ділянка </w:t>
      </w:r>
      <w:r w:rsidR="006D59DE">
        <w:rPr>
          <w:sz w:val="28"/>
          <w:szCs w:val="28"/>
          <w:lang w:val="uk-UA"/>
        </w:rPr>
        <w:t xml:space="preserve">частково </w:t>
      </w:r>
      <w:r w:rsidRPr="003B78DA">
        <w:rPr>
          <w:sz w:val="28"/>
          <w:szCs w:val="28"/>
          <w:lang w:val="uk-UA"/>
        </w:rPr>
        <w:t>розташована  в межах червоних ліній магістральної вулиці</w:t>
      </w:r>
      <w:r>
        <w:rPr>
          <w:sz w:val="28"/>
          <w:szCs w:val="28"/>
          <w:lang w:val="uk-UA"/>
        </w:rPr>
        <w:t>.</w:t>
      </w:r>
    </w:p>
    <w:p w:rsidR="00AC32FB" w:rsidRDefault="006C57D7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74517E">
        <w:rPr>
          <w:sz w:val="28"/>
          <w:szCs w:val="28"/>
          <w:lang w:val="uk-UA"/>
        </w:rPr>
        <w:t>громадянам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E3B42">
        <w:rPr>
          <w:sz w:val="24"/>
          <w:szCs w:val="24"/>
          <w:lang w:val="uk-UA"/>
        </w:rPr>
        <w:t xml:space="preserve"> КЛИМЕНКО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1E3B42" w:rsidRDefault="001E3B42" w:rsidP="00305AB3">
      <w:pPr>
        <w:ind w:right="174"/>
        <w:jc w:val="both"/>
        <w:rPr>
          <w:sz w:val="24"/>
          <w:szCs w:val="24"/>
          <w:lang w:val="uk-UA"/>
        </w:rPr>
      </w:pPr>
    </w:p>
    <w:p w:rsidR="001E3B42" w:rsidRDefault="001E3B42" w:rsidP="00305AB3">
      <w:pPr>
        <w:ind w:right="174"/>
        <w:jc w:val="both"/>
        <w:rPr>
          <w:sz w:val="24"/>
          <w:szCs w:val="24"/>
          <w:lang w:val="uk-UA"/>
        </w:rPr>
      </w:pPr>
    </w:p>
    <w:p w:rsidR="001E3B42" w:rsidRDefault="001E3B42" w:rsidP="00305AB3">
      <w:pPr>
        <w:ind w:right="174"/>
        <w:jc w:val="both"/>
        <w:rPr>
          <w:sz w:val="24"/>
          <w:szCs w:val="24"/>
          <w:lang w:val="uk-UA"/>
        </w:rPr>
      </w:pPr>
    </w:p>
    <w:p w:rsidR="001E3B42" w:rsidRDefault="001E3B42" w:rsidP="00305AB3">
      <w:pPr>
        <w:ind w:right="174"/>
        <w:jc w:val="both"/>
        <w:rPr>
          <w:sz w:val="24"/>
          <w:szCs w:val="24"/>
          <w:lang w:val="uk-UA"/>
        </w:rPr>
      </w:pPr>
    </w:p>
    <w:p w:rsidR="001E3B42" w:rsidRDefault="001E3B42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CB2CA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74517E" w:rsidRPr="008134BB">
        <w:rPr>
          <w:sz w:val="28"/>
          <w:szCs w:val="28"/>
          <w:lang w:val="uk-UA"/>
        </w:rPr>
        <w:t xml:space="preserve">Про </w:t>
      </w:r>
      <w:r w:rsidR="0074517E">
        <w:rPr>
          <w:sz w:val="28"/>
          <w:szCs w:val="28"/>
          <w:lang w:val="uk-UA"/>
        </w:rPr>
        <w:t xml:space="preserve">надання </w:t>
      </w:r>
      <w:r w:rsidR="001E3B42">
        <w:rPr>
          <w:sz w:val="28"/>
          <w:szCs w:val="28"/>
          <w:lang w:val="uk-UA"/>
        </w:rPr>
        <w:t xml:space="preserve">Калініченко Ганні Василівні та Пекельній Наталії Юріївні в оренду </w:t>
      </w:r>
      <w:r w:rsidR="001E3B42" w:rsidRPr="00250644">
        <w:rPr>
          <w:sz w:val="28"/>
          <w:szCs w:val="28"/>
          <w:lang w:val="uk-UA"/>
        </w:rPr>
        <w:t>земельн</w:t>
      </w:r>
      <w:r w:rsidR="001E3B42">
        <w:rPr>
          <w:sz w:val="28"/>
          <w:szCs w:val="28"/>
          <w:lang w:val="uk-UA"/>
        </w:rPr>
        <w:t>ої</w:t>
      </w:r>
      <w:r w:rsidR="001E3B42" w:rsidRPr="00250644">
        <w:rPr>
          <w:sz w:val="28"/>
          <w:szCs w:val="28"/>
          <w:lang w:val="uk-UA"/>
        </w:rPr>
        <w:t xml:space="preserve"> ділян</w:t>
      </w:r>
      <w:r w:rsidR="001E3B42">
        <w:rPr>
          <w:sz w:val="28"/>
          <w:szCs w:val="28"/>
          <w:lang w:val="uk-UA"/>
        </w:rPr>
        <w:t xml:space="preserve">ки за </w:t>
      </w:r>
      <w:proofErr w:type="spellStart"/>
      <w:r w:rsidR="001E3B42">
        <w:rPr>
          <w:sz w:val="28"/>
          <w:szCs w:val="28"/>
          <w:lang w:val="uk-UA"/>
        </w:rPr>
        <w:t>адресою</w:t>
      </w:r>
      <w:proofErr w:type="spellEnd"/>
      <w:r w:rsidR="001E3B42">
        <w:rPr>
          <w:sz w:val="28"/>
          <w:szCs w:val="28"/>
          <w:lang w:val="uk-UA"/>
        </w:rPr>
        <w:t xml:space="preserve">: м. Суми, </w:t>
      </w:r>
      <w:r w:rsidR="008659B3">
        <w:rPr>
          <w:sz w:val="28"/>
          <w:szCs w:val="28"/>
          <w:lang w:val="uk-UA"/>
        </w:rPr>
        <w:t>__________</w:t>
      </w:r>
      <w:r w:rsidR="001E3B42">
        <w:rPr>
          <w:sz w:val="28"/>
          <w:szCs w:val="28"/>
          <w:lang w:val="uk-UA"/>
        </w:rPr>
        <w:t>площею 0,0251 га, кадастровий номер</w:t>
      </w:r>
      <w:r w:rsidR="008659B3">
        <w:rPr>
          <w:sz w:val="28"/>
          <w:szCs w:val="28"/>
          <w:lang w:val="uk-UA"/>
        </w:rPr>
        <w:t>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14D94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714D94">
        <w:rPr>
          <w:sz w:val="28"/>
          <w:szCs w:val="28"/>
          <w:lang w:val="uk-UA"/>
        </w:rPr>
        <w:t xml:space="preserve">2025 </w:t>
      </w:r>
      <w:r w:rsidRPr="008134BB">
        <w:rPr>
          <w:sz w:val="28"/>
          <w:szCs w:val="28"/>
          <w:lang w:val="uk-UA"/>
        </w:rPr>
        <w:t>року №</w:t>
      </w:r>
      <w:r w:rsidR="00714D94">
        <w:rPr>
          <w:sz w:val="28"/>
          <w:szCs w:val="28"/>
          <w:lang w:val="uk-UA"/>
        </w:rPr>
        <w:t xml:space="preserve"> 5969</w:t>
      </w:r>
      <w:r w:rsidRPr="008134BB">
        <w:rPr>
          <w:sz w:val="28"/>
          <w:szCs w:val="28"/>
          <w:lang w:val="uk-UA"/>
        </w:rPr>
        <w:t>-МР</w:t>
      </w:r>
    </w:p>
    <w:p w:rsidR="0074517E" w:rsidRDefault="0074517E" w:rsidP="0074517E">
      <w:pPr>
        <w:jc w:val="center"/>
        <w:rPr>
          <w:sz w:val="28"/>
          <w:szCs w:val="28"/>
          <w:lang w:val="uk-UA"/>
        </w:rPr>
      </w:pPr>
    </w:p>
    <w:p w:rsidR="00973FBA" w:rsidRPr="00E404AB" w:rsidRDefault="00973FBA" w:rsidP="00973FBA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973FBA" w:rsidRPr="00E404AB" w:rsidRDefault="008C3B8B" w:rsidP="00973F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973FBA">
        <w:rPr>
          <w:sz w:val="28"/>
          <w:szCs w:val="28"/>
          <w:lang w:val="uk-UA"/>
        </w:rPr>
        <w:t xml:space="preserve">, </w:t>
      </w:r>
      <w:r w:rsidR="00973FBA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63" w:tblpY="1"/>
        <w:tblOverlap w:val="never"/>
        <w:tblW w:w="4915" w:type="pct"/>
        <w:tblLayout w:type="fixed"/>
        <w:tblLook w:val="0000" w:firstRow="0" w:lastRow="0" w:firstColumn="0" w:lastColumn="0" w:noHBand="0" w:noVBand="0"/>
      </w:tblPr>
      <w:tblGrid>
        <w:gridCol w:w="565"/>
        <w:gridCol w:w="2267"/>
        <w:gridCol w:w="5670"/>
        <w:gridCol w:w="1703"/>
        <w:gridCol w:w="1700"/>
        <w:gridCol w:w="2407"/>
      </w:tblGrid>
      <w:tr w:rsidR="00973FBA" w:rsidRPr="004F580C" w:rsidTr="001E3B42">
        <w:trPr>
          <w:cantSplit/>
          <w:trHeight w:val="241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BA" w:rsidRPr="003274C9" w:rsidRDefault="00973FBA" w:rsidP="00973F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8C3B8B">
              <w:rPr>
                <w:color w:val="000000"/>
                <w:sz w:val="24"/>
                <w:szCs w:val="24"/>
                <w:lang w:val="uk-UA"/>
              </w:rPr>
              <w:t>громадян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73FBA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73FBA" w:rsidRPr="004F580C" w:rsidTr="001E3B42">
        <w:trPr>
          <w:cantSplit/>
          <w:trHeight w:val="32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A" w:rsidRPr="004F580C" w:rsidRDefault="00973FBA" w:rsidP="00973FB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A" w:rsidRPr="004F580C" w:rsidRDefault="00973FBA" w:rsidP="00973FB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A" w:rsidRPr="004F580C" w:rsidRDefault="00973FBA" w:rsidP="00973FB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A" w:rsidRPr="004F580C" w:rsidRDefault="00973FBA" w:rsidP="00973FB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A" w:rsidRPr="004F580C" w:rsidRDefault="00973FBA" w:rsidP="00973FB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A" w:rsidRPr="004F580C" w:rsidRDefault="00973FBA" w:rsidP="00973F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73FBA" w:rsidRPr="00446364" w:rsidTr="001E3B42">
        <w:trPr>
          <w:cantSplit/>
          <w:trHeight w:val="1751"/>
        </w:trPr>
        <w:tc>
          <w:tcPr>
            <w:tcW w:w="197" w:type="pct"/>
            <w:shd w:val="clear" w:color="auto" w:fill="auto"/>
          </w:tcPr>
          <w:p w:rsidR="00973FBA" w:rsidRDefault="00973FBA" w:rsidP="00973F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5455F8">
            <w:pPr>
              <w:rPr>
                <w:sz w:val="28"/>
                <w:szCs w:val="28"/>
                <w:lang w:val="uk-UA"/>
              </w:rPr>
            </w:pPr>
          </w:p>
          <w:p w:rsidR="005455F8" w:rsidRDefault="005455F8" w:rsidP="005455F8">
            <w:pPr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" w:type="pct"/>
            <w:shd w:val="clear" w:color="auto" w:fill="auto"/>
          </w:tcPr>
          <w:p w:rsidR="00973FBA" w:rsidRDefault="001E3B42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Калініченко    Ганна Василівна</w:t>
            </w:r>
            <w:r w:rsidR="00973FBA">
              <w:rPr>
                <w:sz w:val="28"/>
                <w:szCs w:val="28"/>
                <w:lang w:val="uk-UA"/>
              </w:rPr>
              <w:t xml:space="preserve"> </w:t>
            </w:r>
          </w:p>
          <w:p w:rsidR="001E3B42" w:rsidRDefault="001E3B42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1E3B42" w:rsidRDefault="003D12F7" w:rsidP="003D12F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Пекельна Нат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алія Юріївна</w:t>
            </w: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973FBA" w:rsidRPr="005E59E5" w:rsidRDefault="00973FBA" w:rsidP="001E3B42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1" w:type="pct"/>
            <w:shd w:val="clear" w:color="auto" w:fill="auto"/>
          </w:tcPr>
          <w:p w:rsidR="00973FBA" w:rsidRDefault="00973FBA" w:rsidP="001E3B42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1E3B42" w:rsidRDefault="001E3B42" w:rsidP="001E3B42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6335CC" w:rsidRDefault="006335CC" w:rsidP="006335CC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5455F8" w:rsidRDefault="005455F8" w:rsidP="005455F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5455F8" w:rsidRPr="00F44427" w:rsidRDefault="005455F8" w:rsidP="006335CC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" w:type="pct"/>
            <w:shd w:val="clear" w:color="auto" w:fill="auto"/>
          </w:tcPr>
          <w:p w:rsidR="008C3B8B" w:rsidRDefault="008C3B8B" w:rsidP="008C3B8B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</w:t>
            </w:r>
          </w:p>
          <w:p w:rsidR="008C3B8B" w:rsidRDefault="008C3B8B" w:rsidP="008C3B8B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</w:p>
          <w:p w:rsidR="008C3B8B" w:rsidRDefault="001E3B42" w:rsidP="008C3B8B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0,0251</w:t>
            </w:r>
          </w:p>
          <w:p w:rsidR="00973FBA" w:rsidRDefault="008A138E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973FBA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8C3B8B" w:rsidRDefault="008C3B8B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1E3B42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</w:t>
            </w:r>
          </w:p>
          <w:p w:rsidR="008C3B8B" w:rsidRDefault="008C3B8B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від</w:t>
            </w:r>
          </w:p>
          <w:p w:rsidR="006335CC" w:rsidRDefault="001E3B42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0,0251</w:t>
            </w:r>
          </w:p>
          <w:p w:rsidR="006335CC" w:rsidRDefault="008A138E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6335CC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6335CC" w:rsidRDefault="006335CC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8C3B8B" w:rsidRDefault="008C3B8B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4" w:type="pct"/>
            <w:shd w:val="clear" w:color="auto" w:fill="auto"/>
          </w:tcPr>
          <w:p w:rsidR="00973FBA" w:rsidRDefault="00973FBA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житлової та громадської забудови</w:t>
            </w: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житлової та громадської забудови</w:t>
            </w: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Pr="000B674F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</w:tc>
        <w:tc>
          <w:tcPr>
            <w:tcW w:w="842" w:type="pct"/>
            <w:shd w:val="clear" w:color="auto" w:fill="auto"/>
          </w:tcPr>
          <w:p w:rsidR="00973FBA" w:rsidRPr="00AD4B27" w:rsidRDefault="008C3B8B" w:rsidP="00973FBA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  <w:r w:rsidR="00973FBA" w:rsidRPr="00AD4B27">
              <w:rPr>
                <w:sz w:val="28"/>
                <w:szCs w:val="28"/>
                <w:lang w:val="uk-UA"/>
              </w:rPr>
              <w:t>,0</w:t>
            </w:r>
          </w:p>
          <w:p w:rsidR="00973FBA" w:rsidRPr="00AD4B27" w:rsidRDefault="00973FBA" w:rsidP="00973FBA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973FBA" w:rsidRPr="00AD4B27" w:rsidRDefault="00973FBA" w:rsidP="00973FBA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  <w:r w:rsidRPr="00AD4B27">
              <w:rPr>
                <w:sz w:val="28"/>
                <w:szCs w:val="28"/>
                <w:lang w:val="uk-UA"/>
              </w:rPr>
              <w:t>(</w:t>
            </w:r>
            <w:r w:rsidR="008C3B8B">
              <w:rPr>
                <w:sz w:val="28"/>
                <w:szCs w:val="28"/>
                <w:lang w:val="uk-UA"/>
              </w:rPr>
              <w:t>2,0</w:t>
            </w:r>
          </w:p>
          <w:p w:rsidR="00973FBA" w:rsidRDefault="00973FBA" w:rsidP="00973FBA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  <w:r w:rsidRPr="00AD4B2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6335CC" w:rsidRDefault="006335CC" w:rsidP="00973FBA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</w:p>
          <w:p w:rsidR="006335CC" w:rsidRPr="00AD4B27" w:rsidRDefault="008C3B8B" w:rsidP="006335C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6335CC" w:rsidRPr="00AD4B27">
              <w:rPr>
                <w:sz w:val="28"/>
                <w:szCs w:val="28"/>
                <w:lang w:val="uk-UA"/>
              </w:rPr>
              <w:t>,0</w:t>
            </w:r>
          </w:p>
          <w:p w:rsidR="006335CC" w:rsidRPr="00AD4B27" w:rsidRDefault="006335CC" w:rsidP="006335C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6335CC" w:rsidRPr="00AD4B27" w:rsidRDefault="006335CC" w:rsidP="006335CC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  <w:r w:rsidRPr="00AD4B27">
              <w:rPr>
                <w:sz w:val="28"/>
                <w:szCs w:val="28"/>
                <w:lang w:val="uk-UA"/>
              </w:rPr>
              <w:t>(</w:t>
            </w:r>
            <w:r w:rsidR="008C3B8B">
              <w:rPr>
                <w:sz w:val="28"/>
                <w:szCs w:val="28"/>
                <w:lang w:val="uk-UA"/>
              </w:rPr>
              <w:t>2,0</w:t>
            </w:r>
          </w:p>
          <w:p w:rsidR="006335CC" w:rsidRPr="00AD4B27" w:rsidRDefault="006335CC" w:rsidP="006335C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AD4B2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6335CC" w:rsidRPr="00AD4B27" w:rsidRDefault="006335CC" w:rsidP="006335CC">
            <w:pPr>
              <w:ind w:left="-112" w:right="-67"/>
              <w:rPr>
                <w:sz w:val="24"/>
                <w:szCs w:val="24"/>
                <w:lang w:val="uk-UA"/>
              </w:rPr>
            </w:pPr>
          </w:p>
          <w:p w:rsidR="005455F8" w:rsidRDefault="005455F8" w:rsidP="005455F8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973FBA" w:rsidRDefault="00973FBA" w:rsidP="001E3B42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D26242" w:rsidRPr="001D19F4" w:rsidRDefault="00D26242" w:rsidP="00D2624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 Юрій</w:t>
      </w:r>
      <w:r w:rsidR="001E3B42">
        <w:rPr>
          <w:sz w:val="24"/>
          <w:szCs w:val="24"/>
          <w:lang w:val="uk-UA"/>
        </w:rPr>
        <w:t xml:space="preserve"> КЛИМЕНКО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Pr="007E2C1B" w:rsidRDefault="00C240FF" w:rsidP="00C240FF">
      <w:pPr>
        <w:jc w:val="both"/>
        <w:rPr>
          <w:sz w:val="24"/>
          <w:szCs w:val="24"/>
          <w:lang w:val="uk-UA"/>
        </w:rPr>
      </w:pPr>
    </w:p>
    <w:p w:rsidR="00A54412" w:rsidRPr="00305AB3" w:rsidRDefault="00A54412" w:rsidP="00C240FF">
      <w:pPr>
        <w:jc w:val="center"/>
      </w:pPr>
    </w:p>
    <w:sectPr w:rsidR="00A54412" w:rsidRPr="00305AB3" w:rsidSect="00C240FF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A3314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3B42"/>
    <w:rsid w:val="001E605F"/>
    <w:rsid w:val="001F5C2E"/>
    <w:rsid w:val="001F7D67"/>
    <w:rsid w:val="0021580C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2F5220"/>
    <w:rsid w:val="00305AB3"/>
    <w:rsid w:val="00321C8A"/>
    <w:rsid w:val="00340947"/>
    <w:rsid w:val="00342D83"/>
    <w:rsid w:val="00346DCA"/>
    <w:rsid w:val="00372AF4"/>
    <w:rsid w:val="00392466"/>
    <w:rsid w:val="00394D4B"/>
    <w:rsid w:val="003A0688"/>
    <w:rsid w:val="003A1A0E"/>
    <w:rsid w:val="003A28B9"/>
    <w:rsid w:val="003B5619"/>
    <w:rsid w:val="003C69A6"/>
    <w:rsid w:val="003D12F7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23AA"/>
    <w:rsid w:val="004754F3"/>
    <w:rsid w:val="00476697"/>
    <w:rsid w:val="00481095"/>
    <w:rsid w:val="00492FAF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455F8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D1D80"/>
    <w:rsid w:val="005D50F8"/>
    <w:rsid w:val="005E01A9"/>
    <w:rsid w:val="005E432A"/>
    <w:rsid w:val="005F2086"/>
    <w:rsid w:val="006047E3"/>
    <w:rsid w:val="006123D0"/>
    <w:rsid w:val="00620A55"/>
    <w:rsid w:val="006214BF"/>
    <w:rsid w:val="00624868"/>
    <w:rsid w:val="006264A0"/>
    <w:rsid w:val="006322B0"/>
    <w:rsid w:val="006335CC"/>
    <w:rsid w:val="006337D1"/>
    <w:rsid w:val="006409F4"/>
    <w:rsid w:val="00647067"/>
    <w:rsid w:val="00656D63"/>
    <w:rsid w:val="006819AE"/>
    <w:rsid w:val="00696F2D"/>
    <w:rsid w:val="006B125B"/>
    <w:rsid w:val="006C57D7"/>
    <w:rsid w:val="006C7596"/>
    <w:rsid w:val="006D390E"/>
    <w:rsid w:val="006D59DE"/>
    <w:rsid w:val="006E4F99"/>
    <w:rsid w:val="006E5D69"/>
    <w:rsid w:val="006F5CA0"/>
    <w:rsid w:val="007002B1"/>
    <w:rsid w:val="00702301"/>
    <w:rsid w:val="00714D94"/>
    <w:rsid w:val="007150BD"/>
    <w:rsid w:val="00720839"/>
    <w:rsid w:val="00723C5A"/>
    <w:rsid w:val="00731EDB"/>
    <w:rsid w:val="00743D9F"/>
    <w:rsid w:val="0074517E"/>
    <w:rsid w:val="00745CD4"/>
    <w:rsid w:val="00750699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E2FC6"/>
    <w:rsid w:val="007E378D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659B3"/>
    <w:rsid w:val="00871944"/>
    <w:rsid w:val="00883FCA"/>
    <w:rsid w:val="008A138E"/>
    <w:rsid w:val="008A141E"/>
    <w:rsid w:val="008B4D96"/>
    <w:rsid w:val="008B5723"/>
    <w:rsid w:val="008C3B8B"/>
    <w:rsid w:val="008D4610"/>
    <w:rsid w:val="008E57A5"/>
    <w:rsid w:val="00906B91"/>
    <w:rsid w:val="00912E6D"/>
    <w:rsid w:val="00916377"/>
    <w:rsid w:val="00922FC3"/>
    <w:rsid w:val="00925F55"/>
    <w:rsid w:val="00931386"/>
    <w:rsid w:val="00931817"/>
    <w:rsid w:val="00933A41"/>
    <w:rsid w:val="00944021"/>
    <w:rsid w:val="009458FD"/>
    <w:rsid w:val="00953D75"/>
    <w:rsid w:val="0095517A"/>
    <w:rsid w:val="00962D76"/>
    <w:rsid w:val="00964224"/>
    <w:rsid w:val="0096652F"/>
    <w:rsid w:val="00973FBA"/>
    <w:rsid w:val="00997E05"/>
    <w:rsid w:val="009A040B"/>
    <w:rsid w:val="009A74ED"/>
    <w:rsid w:val="009B1C21"/>
    <w:rsid w:val="009B55E3"/>
    <w:rsid w:val="009C1231"/>
    <w:rsid w:val="009C72FC"/>
    <w:rsid w:val="009D2FB6"/>
    <w:rsid w:val="00A06715"/>
    <w:rsid w:val="00A262FE"/>
    <w:rsid w:val="00A35113"/>
    <w:rsid w:val="00A4163E"/>
    <w:rsid w:val="00A45D74"/>
    <w:rsid w:val="00A47DA1"/>
    <w:rsid w:val="00A54412"/>
    <w:rsid w:val="00A56607"/>
    <w:rsid w:val="00A57C68"/>
    <w:rsid w:val="00A609EE"/>
    <w:rsid w:val="00A82025"/>
    <w:rsid w:val="00A83E69"/>
    <w:rsid w:val="00A84840"/>
    <w:rsid w:val="00AB0289"/>
    <w:rsid w:val="00AB51FE"/>
    <w:rsid w:val="00AB62F8"/>
    <w:rsid w:val="00AC32FB"/>
    <w:rsid w:val="00B017BF"/>
    <w:rsid w:val="00B055BC"/>
    <w:rsid w:val="00B156E6"/>
    <w:rsid w:val="00B271AD"/>
    <w:rsid w:val="00B348D9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240FF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B2CA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13643"/>
    <w:rsid w:val="00D24437"/>
    <w:rsid w:val="00D26242"/>
    <w:rsid w:val="00D32038"/>
    <w:rsid w:val="00D36242"/>
    <w:rsid w:val="00D40612"/>
    <w:rsid w:val="00D47083"/>
    <w:rsid w:val="00D61391"/>
    <w:rsid w:val="00D62A7F"/>
    <w:rsid w:val="00D66F72"/>
    <w:rsid w:val="00D72800"/>
    <w:rsid w:val="00D816A3"/>
    <w:rsid w:val="00D82BCE"/>
    <w:rsid w:val="00D956A5"/>
    <w:rsid w:val="00D96642"/>
    <w:rsid w:val="00DC1899"/>
    <w:rsid w:val="00DC454A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15225"/>
    <w:rsid w:val="00F33AEB"/>
    <w:rsid w:val="00F35756"/>
    <w:rsid w:val="00F44427"/>
    <w:rsid w:val="00F467F1"/>
    <w:rsid w:val="00F51A67"/>
    <w:rsid w:val="00F637BF"/>
    <w:rsid w:val="00F669F7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04E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AD8FE-1800-4F7E-9E88-4A3973BA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2025-09-30T10:28:00Z</cp:lastPrinted>
  <dcterms:created xsi:type="dcterms:W3CDTF">2026-03-11T12:02:00Z</dcterms:created>
  <dcterms:modified xsi:type="dcterms:W3CDTF">2026-03-11T12:03:00Z</dcterms:modified>
</cp:coreProperties>
</file>