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F0D3F" w:rsidTr="0085272A">
        <w:trPr>
          <w:trHeight w:val="992"/>
          <w:jc w:val="center"/>
        </w:trPr>
        <w:tc>
          <w:tcPr>
            <w:tcW w:w="4253" w:type="dxa"/>
          </w:tcPr>
          <w:p w:rsidR="008F0D3F" w:rsidRDefault="008F0D3F" w:rsidP="0085272A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8F0D3F" w:rsidRDefault="008F0D3F" w:rsidP="0085272A">
            <w:pPr>
              <w:pStyle w:val="a4"/>
              <w:jc w:val="center"/>
              <w:rPr>
                <w:sz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0D3F" w:rsidRDefault="008F0D3F" w:rsidP="0085272A">
            <w:pPr>
              <w:pStyle w:val="a4"/>
              <w:rPr>
                <w:lang w:val="uk-UA"/>
              </w:rPr>
            </w:pPr>
          </w:p>
        </w:tc>
      </w:tr>
    </w:tbl>
    <w:p w:rsidR="008F0D3F" w:rsidRDefault="008F0D3F" w:rsidP="008F0D3F">
      <w:pPr>
        <w:pStyle w:val="a4"/>
        <w:jc w:val="center"/>
        <w:rPr>
          <w:sz w:val="15"/>
          <w:szCs w:val="15"/>
          <w:lang w:val="uk-UA"/>
        </w:rPr>
      </w:pPr>
    </w:p>
    <w:p w:rsidR="008F0D3F" w:rsidRDefault="008F0D3F" w:rsidP="008F0D3F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8F0D3F" w:rsidRDefault="008F0D3F" w:rsidP="008F0D3F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8F0D3F" w:rsidRDefault="008F0D3F" w:rsidP="008F0D3F">
      <w:pPr>
        <w:jc w:val="center"/>
        <w:rPr>
          <w:szCs w:val="28"/>
          <w:lang w:val="uk-UA"/>
        </w:rPr>
      </w:pPr>
    </w:p>
    <w:p w:rsidR="008F0D3F" w:rsidRDefault="008F0D3F" w:rsidP="008F0D3F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РІШЕННЯ</w:t>
      </w:r>
    </w:p>
    <w:p w:rsidR="008F0D3F" w:rsidRDefault="008F0D3F" w:rsidP="008F0D3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8F0D3F" w:rsidRPr="00C83330" w:rsidTr="0085272A">
        <w:trPr>
          <w:trHeight w:val="80"/>
        </w:trPr>
        <w:tc>
          <w:tcPr>
            <w:tcW w:w="4968" w:type="dxa"/>
          </w:tcPr>
          <w:p w:rsidR="008F0D3F" w:rsidRDefault="008F0D3F" w:rsidP="0085272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C83330">
              <w:rPr>
                <w:sz w:val="28"/>
                <w:lang w:val="uk-UA"/>
              </w:rPr>
              <w:t>26.12.2017</w:t>
            </w:r>
            <w:r>
              <w:rPr>
                <w:sz w:val="28"/>
                <w:lang w:val="uk-UA"/>
              </w:rPr>
              <w:t xml:space="preserve"> </w:t>
            </w:r>
            <w:r w:rsidR="00C83330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 xml:space="preserve">№ </w:t>
            </w:r>
            <w:r w:rsidR="00C83330">
              <w:rPr>
                <w:sz w:val="28"/>
                <w:lang w:val="uk-UA"/>
              </w:rPr>
              <w:t xml:space="preserve"> 716</w:t>
            </w:r>
          </w:p>
          <w:p w:rsidR="008F0D3F" w:rsidRDefault="008F0D3F" w:rsidP="0085272A">
            <w:pPr>
              <w:jc w:val="both"/>
              <w:rPr>
                <w:sz w:val="28"/>
                <w:lang w:val="uk-UA"/>
              </w:rPr>
            </w:pPr>
          </w:p>
        </w:tc>
      </w:tr>
      <w:tr w:rsidR="008F0D3F" w:rsidRPr="00C83330" w:rsidTr="0085272A">
        <w:tc>
          <w:tcPr>
            <w:tcW w:w="4968" w:type="dxa"/>
          </w:tcPr>
          <w:p w:rsidR="008F0D3F" w:rsidRDefault="008F0D3F" w:rsidP="008F0D3F">
            <w:pPr>
              <w:tabs>
                <w:tab w:val="left" w:pos="3420"/>
                <w:tab w:val="left" w:pos="5387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поховання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Ширкова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С.І.</w:t>
            </w:r>
          </w:p>
        </w:tc>
      </w:tr>
    </w:tbl>
    <w:p w:rsidR="008F0D3F" w:rsidRDefault="008F0D3F" w:rsidP="008F0D3F">
      <w:pPr>
        <w:rPr>
          <w:b/>
          <w:sz w:val="28"/>
          <w:szCs w:val="28"/>
          <w:lang w:val="uk-UA"/>
        </w:rPr>
      </w:pPr>
    </w:p>
    <w:p w:rsidR="008F0D3F" w:rsidRDefault="008F0D3F" w:rsidP="00C83330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рішення Сумської міської ради </w:t>
      </w:r>
      <w:r>
        <w:rPr>
          <w:color w:val="000000"/>
          <w:sz w:val="28"/>
          <w:szCs w:val="28"/>
          <w:lang w:val="uk-UA"/>
        </w:rPr>
        <w:t xml:space="preserve">від 03 березня 2015 року № 4109-МР </w:t>
      </w:r>
      <w:r>
        <w:rPr>
          <w:sz w:val="28"/>
          <w:szCs w:val="28"/>
          <w:lang w:val="uk-UA"/>
        </w:rPr>
        <w:t xml:space="preserve">«Про внесення змін до рішення Сумської міської ради від 28 листопада 2007 року № 973-МР «Про порядок утримання кладовищ та функціонування місць поховань в місті Суми» (зі змінами)», керуючись статтею 52 Закону України «Про місцеве самоврядування в Україні» </w:t>
      </w:r>
      <w:r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F0D3F" w:rsidRDefault="008F0D3F" w:rsidP="008F0D3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</w:p>
    <w:p w:rsidR="008F0D3F" w:rsidRDefault="008F0D3F" w:rsidP="008F0D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F0D3F" w:rsidRDefault="008F0D3F" w:rsidP="008F0D3F">
      <w:pPr>
        <w:jc w:val="both"/>
        <w:rPr>
          <w:sz w:val="27"/>
          <w:szCs w:val="27"/>
          <w:lang w:val="uk-UA"/>
        </w:rPr>
      </w:pPr>
    </w:p>
    <w:p w:rsidR="008F0D3F" w:rsidRDefault="008F0D3F" w:rsidP="008F0D3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Комунальному підприємству «Спеціалізований комбінат» Сумської міської ради (</w:t>
      </w:r>
      <w:proofErr w:type="spellStart"/>
      <w:r>
        <w:rPr>
          <w:sz w:val="28"/>
          <w:szCs w:val="28"/>
          <w:lang w:val="uk-UA"/>
        </w:rPr>
        <w:t>Короткевич</w:t>
      </w:r>
      <w:proofErr w:type="spellEnd"/>
      <w:r>
        <w:rPr>
          <w:sz w:val="28"/>
          <w:szCs w:val="28"/>
          <w:lang w:val="uk-UA"/>
        </w:rPr>
        <w:t xml:space="preserve"> Є.Г.) дозволити поховання на міському кладовищі по вулиці 20 років Перемоги на «Алеї для поховання померлих Почесних громадян м. Суми та їх дружин і осіб, які загинули під час дій в зоні АТО» </w:t>
      </w:r>
      <w:proofErr w:type="spellStart"/>
      <w:r>
        <w:rPr>
          <w:sz w:val="28"/>
          <w:szCs w:val="28"/>
          <w:lang w:val="uk-UA"/>
        </w:rPr>
        <w:t>Ширкова</w:t>
      </w:r>
      <w:proofErr w:type="spellEnd"/>
      <w:r>
        <w:rPr>
          <w:sz w:val="28"/>
          <w:szCs w:val="28"/>
          <w:lang w:val="uk-UA"/>
        </w:rPr>
        <w:t xml:space="preserve"> Сергія Івановича – співробітника відділу військової контррозвідки Служби Безпеки України</w:t>
      </w:r>
      <w:r w:rsidRPr="00983C5C">
        <w:rPr>
          <w:rStyle w:val="a5"/>
          <w:b w:val="0"/>
          <w:sz w:val="28"/>
          <w:szCs w:val="28"/>
          <w:shd w:val="clear" w:color="auto" w:fill="FFFFFF"/>
          <w:lang w:val="uk-UA"/>
        </w:rPr>
        <w:t>,</w:t>
      </w:r>
      <w:r>
        <w:rPr>
          <w:rStyle w:val="a5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загинув </w:t>
      </w:r>
      <w:r>
        <w:rPr>
          <w:sz w:val="28"/>
          <w:szCs w:val="28"/>
          <w:shd w:val="clear" w:color="auto" w:fill="FFFFFF"/>
          <w:lang w:val="uk-UA"/>
        </w:rPr>
        <w:t xml:space="preserve">в ході </w:t>
      </w:r>
      <w:r>
        <w:rPr>
          <w:sz w:val="28"/>
          <w:szCs w:val="28"/>
          <w:lang w:val="uk-UA"/>
        </w:rPr>
        <w:t>проведення антитерористичної операції в Україні.</w:t>
      </w:r>
    </w:p>
    <w:p w:rsidR="008F0D3F" w:rsidRDefault="008F0D3F" w:rsidP="008F0D3F">
      <w:pPr>
        <w:ind w:firstLine="709"/>
        <w:jc w:val="both"/>
        <w:rPr>
          <w:sz w:val="28"/>
          <w:szCs w:val="28"/>
          <w:lang w:val="uk-UA"/>
        </w:rPr>
      </w:pPr>
    </w:p>
    <w:p w:rsidR="008F0D3F" w:rsidRDefault="008F0D3F" w:rsidP="008F0D3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голови, керуючого справами виконавчого комітету Пака С.Я. </w:t>
      </w:r>
    </w:p>
    <w:p w:rsidR="008F0D3F" w:rsidRDefault="008F0D3F" w:rsidP="008F0D3F">
      <w:pPr>
        <w:jc w:val="both"/>
        <w:rPr>
          <w:sz w:val="28"/>
          <w:szCs w:val="28"/>
          <w:lang w:val="uk-UA"/>
        </w:rPr>
      </w:pPr>
    </w:p>
    <w:p w:rsidR="008F0D3F" w:rsidRDefault="008F0D3F" w:rsidP="008F0D3F">
      <w:pPr>
        <w:jc w:val="both"/>
        <w:rPr>
          <w:sz w:val="28"/>
          <w:szCs w:val="28"/>
          <w:lang w:val="uk-UA"/>
        </w:rPr>
      </w:pPr>
    </w:p>
    <w:p w:rsidR="008F0D3F" w:rsidRDefault="008F0D3F" w:rsidP="008F0D3F">
      <w:pPr>
        <w:jc w:val="both"/>
        <w:rPr>
          <w:sz w:val="28"/>
          <w:szCs w:val="28"/>
          <w:lang w:val="uk-UA"/>
        </w:rPr>
      </w:pPr>
    </w:p>
    <w:p w:rsidR="008F0D3F" w:rsidRDefault="008F0D3F" w:rsidP="008F0D3F">
      <w:pPr>
        <w:jc w:val="both"/>
        <w:rPr>
          <w:sz w:val="28"/>
          <w:szCs w:val="28"/>
          <w:lang w:val="uk-UA"/>
        </w:rPr>
      </w:pPr>
    </w:p>
    <w:p w:rsidR="008F0D3F" w:rsidRPr="0094702F" w:rsidRDefault="008F0D3F" w:rsidP="008F0D3F">
      <w:pPr>
        <w:tabs>
          <w:tab w:val="left" w:pos="79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Pr="0094702F">
        <w:rPr>
          <w:sz w:val="28"/>
          <w:szCs w:val="28"/>
          <w:lang w:val="uk-UA"/>
        </w:rPr>
        <w:t xml:space="preserve"> </w:t>
      </w:r>
      <w:r w:rsidRPr="0094702F">
        <w:rPr>
          <w:b/>
          <w:sz w:val="28"/>
          <w:szCs w:val="28"/>
          <w:lang w:val="uk-UA"/>
        </w:rPr>
        <w:t>О.М. Лисенко</w:t>
      </w:r>
    </w:p>
    <w:p w:rsidR="008F0D3F" w:rsidRDefault="008F0D3F" w:rsidP="008F0D3F">
      <w:pPr>
        <w:rPr>
          <w:b/>
          <w:sz w:val="28"/>
          <w:szCs w:val="28"/>
          <w:lang w:val="uk-UA"/>
        </w:rPr>
      </w:pPr>
    </w:p>
    <w:p w:rsidR="008F0D3F" w:rsidRDefault="008F0D3F" w:rsidP="008F0D3F">
      <w:pPr>
        <w:pBdr>
          <w:bottom w:val="single" w:sz="12" w:space="1" w:color="auto"/>
        </w:pBdr>
        <w:rPr>
          <w:sz w:val="28"/>
          <w:szCs w:val="28"/>
          <w:lang w:val="uk-UA"/>
        </w:rPr>
      </w:pPr>
    </w:p>
    <w:p w:rsidR="008F0D3F" w:rsidRDefault="008F0D3F" w:rsidP="008F0D3F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700-564</w:t>
      </w:r>
    </w:p>
    <w:p w:rsidR="008F0D3F" w:rsidRDefault="008F0D3F" w:rsidP="008F0D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Паку С.Я., Антоненку А.Г.,  КП «Спеціалізований комбінат» СМР.</w:t>
      </w:r>
    </w:p>
    <w:p w:rsidR="008F0D3F" w:rsidRDefault="009D55EA" w:rsidP="009D55EA">
      <w:pPr>
        <w:jc w:val="center"/>
      </w:pPr>
      <w:r>
        <w:t xml:space="preserve"> </w:t>
      </w:r>
      <w:bookmarkStart w:id="0" w:name="_GoBack"/>
      <w:bookmarkEnd w:id="0"/>
    </w:p>
    <w:p w:rsidR="0086264A" w:rsidRDefault="0086264A"/>
    <w:sectPr w:rsidR="008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3F"/>
    <w:rsid w:val="00783CA1"/>
    <w:rsid w:val="0086264A"/>
    <w:rsid w:val="008F0D3F"/>
    <w:rsid w:val="009D55EA"/>
    <w:rsid w:val="00C83330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8D43"/>
  <w15:chartTrackingRefBased/>
  <w15:docId w15:val="{ACCE5FFD-1D7F-4BE7-B201-41276A2A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8F0D3F"/>
    <w:rPr>
      <w:lang w:eastAsia="ru-RU"/>
    </w:rPr>
  </w:style>
  <w:style w:type="paragraph" w:styleId="a4">
    <w:name w:val="header"/>
    <w:basedOn w:val="a"/>
    <w:link w:val="a3"/>
    <w:rsid w:val="008F0D3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8F0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8F0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dcterms:created xsi:type="dcterms:W3CDTF">2017-12-25T11:23:00Z</dcterms:created>
  <dcterms:modified xsi:type="dcterms:W3CDTF">2018-01-05T09:28:00Z</dcterms:modified>
</cp:coreProperties>
</file>