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253"/>
        <w:gridCol w:w="1134"/>
        <w:gridCol w:w="4111"/>
      </w:tblGrid>
      <w:tr w:rsidR="00650296">
        <w:trPr>
          <w:trHeight w:val="964"/>
        </w:trPr>
        <w:tc>
          <w:tcPr>
            <w:tcW w:w="4253" w:type="dxa"/>
            <w:shd w:val="clear" w:color="auto" w:fill="auto"/>
          </w:tcPr>
          <w:p w:rsidR="00650296" w:rsidRDefault="00650296"/>
        </w:tc>
        <w:tc>
          <w:tcPr>
            <w:tcW w:w="1134" w:type="dxa"/>
            <w:shd w:val="clear" w:color="auto" w:fill="auto"/>
          </w:tcPr>
          <w:p w:rsidR="00650296" w:rsidRDefault="000625E4">
            <w:pPr>
              <w:jc w:val="center"/>
            </w:pPr>
            <w:r>
              <w:rPr>
                <w:noProof/>
                <w:lang w:val="ru-RU"/>
              </w:rPr>
              <w:drawing>
                <wp:inline distT="0" distB="0" distL="0" distR="0">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476250" cy="609600"/>
                          </a:xfrm>
                          <a:prstGeom prst="rect">
                            <a:avLst/>
                          </a:prstGeom>
                        </pic:spPr>
                      </pic:pic>
                    </a:graphicData>
                  </a:graphic>
                </wp:inline>
              </w:drawing>
            </w:r>
          </w:p>
        </w:tc>
        <w:tc>
          <w:tcPr>
            <w:tcW w:w="4111" w:type="dxa"/>
            <w:shd w:val="clear" w:color="auto" w:fill="auto"/>
          </w:tcPr>
          <w:p w:rsidR="00650296" w:rsidRDefault="000625E4">
            <w:pPr>
              <w:snapToGrid w:val="0"/>
            </w:pPr>
            <w:r>
              <w:rPr>
                <w:sz w:val="26"/>
                <w:szCs w:val="26"/>
              </w:rPr>
              <w:t xml:space="preserve">                   </w:t>
            </w:r>
          </w:p>
        </w:tc>
      </w:tr>
    </w:tbl>
    <w:p w:rsidR="00650296" w:rsidRDefault="00650296">
      <w:pPr>
        <w:jc w:val="center"/>
        <w:rPr>
          <w:sz w:val="36"/>
          <w:szCs w:val="36"/>
        </w:rPr>
      </w:pPr>
    </w:p>
    <w:p w:rsidR="00650296" w:rsidRDefault="000625E4">
      <w:pPr>
        <w:jc w:val="center"/>
        <w:rPr>
          <w:sz w:val="36"/>
          <w:szCs w:val="36"/>
        </w:rPr>
      </w:pPr>
      <w:r>
        <w:rPr>
          <w:sz w:val="36"/>
          <w:szCs w:val="36"/>
        </w:rPr>
        <w:t>Сумська міська рада</w:t>
      </w:r>
    </w:p>
    <w:p w:rsidR="00650296" w:rsidRDefault="000625E4">
      <w:pPr>
        <w:jc w:val="center"/>
        <w:rPr>
          <w:sz w:val="36"/>
          <w:szCs w:val="36"/>
        </w:rPr>
      </w:pPr>
      <w:r>
        <w:rPr>
          <w:sz w:val="36"/>
          <w:szCs w:val="36"/>
        </w:rPr>
        <w:t>Виконавчий комітет</w:t>
      </w:r>
    </w:p>
    <w:p w:rsidR="00650296" w:rsidRDefault="000625E4">
      <w:pPr>
        <w:jc w:val="center"/>
        <w:rPr>
          <w:b/>
          <w:sz w:val="36"/>
          <w:szCs w:val="36"/>
        </w:rPr>
      </w:pPr>
      <w:r>
        <w:rPr>
          <w:b/>
          <w:sz w:val="36"/>
          <w:szCs w:val="36"/>
        </w:rPr>
        <w:t>РІШЕННЯ</w:t>
      </w:r>
    </w:p>
    <w:p w:rsidR="00650296" w:rsidRDefault="00650296">
      <w:pPr>
        <w:jc w:val="center"/>
        <w:rPr>
          <w:szCs w:val="28"/>
        </w:rPr>
      </w:pPr>
    </w:p>
    <w:tbl>
      <w:tblPr>
        <w:tblW w:w="4485" w:type="dxa"/>
        <w:tblLook w:val="01E0" w:firstRow="1" w:lastRow="1" w:firstColumn="1" w:lastColumn="1" w:noHBand="0" w:noVBand="0"/>
      </w:tblPr>
      <w:tblGrid>
        <w:gridCol w:w="4485"/>
      </w:tblGrid>
      <w:tr w:rsidR="00650296">
        <w:trPr>
          <w:trHeight w:val="729"/>
        </w:trPr>
        <w:tc>
          <w:tcPr>
            <w:tcW w:w="4485" w:type="dxa"/>
            <w:shd w:val="clear" w:color="auto" w:fill="auto"/>
          </w:tcPr>
          <w:p w:rsidR="00650296" w:rsidRDefault="000625E4">
            <w:pPr>
              <w:jc w:val="both"/>
            </w:pPr>
            <w:r>
              <w:rPr>
                <w:sz w:val="30"/>
                <w:szCs w:val="30"/>
              </w:rPr>
              <w:t xml:space="preserve">від 16.06.2020 </w:t>
            </w:r>
            <w:r>
              <w:rPr>
                <w:szCs w:val="28"/>
              </w:rPr>
              <w:t>№ 308</w:t>
            </w:r>
          </w:p>
          <w:p w:rsidR="00650296" w:rsidRDefault="00650296">
            <w:pPr>
              <w:rPr>
                <w:szCs w:val="28"/>
              </w:rPr>
            </w:pPr>
          </w:p>
        </w:tc>
        <w:bookmarkStart w:id="0" w:name="_GoBack"/>
        <w:bookmarkEnd w:id="0"/>
      </w:tr>
      <w:tr w:rsidR="00650296">
        <w:trPr>
          <w:trHeight w:val="1680"/>
        </w:trPr>
        <w:tc>
          <w:tcPr>
            <w:tcW w:w="4485" w:type="dxa"/>
            <w:shd w:val="clear" w:color="auto" w:fill="auto"/>
          </w:tcPr>
          <w:p w:rsidR="00650296" w:rsidRDefault="000625E4">
            <w:pPr>
              <w:pStyle w:val="a7"/>
              <w:keepNext/>
              <w:jc w:val="both"/>
            </w:pPr>
            <w:r>
              <w:rPr>
                <w:rFonts w:ascii="Times New Roman" w:hAnsi="Times New Roman"/>
                <w:b/>
                <w:bCs/>
                <w:szCs w:val="28"/>
              </w:rPr>
              <w:t xml:space="preserve">Про встановлення розмірів внесків за обслуговування та заміну, в тому числі використання обмінного фонду вузлів комерційного обліку централізованого </w:t>
            </w:r>
            <w:r>
              <w:rPr>
                <w:rFonts w:ascii="Times New Roman" w:hAnsi="Times New Roman"/>
                <w:b/>
                <w:bCs/>
                <w:szCs w:val="28"/>
              </w:rPr>
              <w:t>водо-постачання, які здійснюються                                                   КП «Міськводоканал» Сумської міської ради</w:t>
            </w:r>
          </w:p>
          <w:p w:rsidR="00650296" w:rsidRDefault="00650296">
            <w:pPr>
              <w:pStyle w:val="a7"/>
              <w:keepNext/>
              <w:jc w:val="both"/>
              <w:rPr>
                <w:rFonts w:ascii="Times New Roman" w:hAnsi="Times New Roman"/>
                <w:b/>
                <w:color w:val="000000"/>
                <w:szCs w:val="28"/>
              </w:rPr>
            </w:pPr>
          </w:p>
        </w:tc>
      </w:tr>
    </w:tbl>
    <w:p w:rsidR="00650296" w:rsidRDefault="000625E4">
      <w:pPr>
        <w:ind w:firstLine="708"/>
        <w:jc w:val="both"/>
        <w:rPr>
          <w:b/>
          <w:szCs w:val="28"/>
        </w:rPr>
      </w:pPr>
      <w:r>
        <w:rPr>
          <w:szCs w:val="28"/>
        </w:rPr>
        <w:t xml:space="preserve">Розглянувши звернення  </w:t>
      </w:r>
      <w:r>
        <w:rPr>
          <w:bCs/>
          <w:szCs w:val="28"/>
        </w:rPr>
        <w:t>КП «Міськводоканал» Сумської міської ради</w:t>
      </w:r>
      <w:r>
        <w:rPr>
          <w:szCs w:val="28"/>
        </w:rPr>
        <w:t xml:space="preserve">   від 23.03.2020 № 20/2245 щодо встановлення </w:t>
      </w:r>
      <w:r>
        <w:rPr>
          <w:bCs/>
          <w:szCs w:val="28"/>
        </w:rPr>
        <w:t>розмірів внесків з</w:t>
      </w:r>
      <w:r>
        <w:rPr>
          <w:bCs/>
          <w:szCs w:val="28"/>
        </w:rPr>
        <w:t xml:space="preserve">а обслуговування та заміну вузлів комерційного обліку централізованого водопостачання та проведені ним розрахунки внесків, здійснені окремо для кожної будівлі, </w:t>
      </w:r>
      <w:r>
        <w:rPr>
          <w:szCs w:val="28"/>
        </w:rPr>
        <w:t>відповідно до статті 6 Закону України «</w:t>
      </w:r>
      <w:r>
        <w:rPr>
          <w:bCs/>
          <w:szCs w:val="28"/>
        </w:rPr>
        <w:t>Про комерційний облік теплової енергії та водопостачання</w:t>
      </w:r>
      <w:r>
        <w:rPr>
          <w:szCs w:val="28"/>
        </w:rPr>
        <w:t>»</w:t>
      </w:r>
      <w:r>
        <w:rPr>
          <w:szCs w:val="28"/>
        </w:rPr>
        <w:t>, наказу Міністерства регіонального розвитку, будівництва та житлово-комунального господарства України від 05.06.2018 № 129 «</w:t>
      </w:r>
      <w:r>
        <w:rPr>
          <w:bCs/>
          <w:szCs w:val="28"/>
        </w:rPr>
        <w:t>Про затвердження Методики визначення розміру внесків за встановлення, обслуговування та заміну вузлів комерційного обліку та їх роз</w:t>
      </w:r>
      <w:r>
        <w:rPr>
          <w:bCs/>
          <w:szCs w:val="28"/>
        </w:rPr>
        <w:t>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w:t>
      </w:r>
      <w:r>
        <w:rPr>
          <w:szCs w:val="28"/>
        </w:rPr>
        <w:t>», керуючись підпунктом 19 пункту «а» частини першій статті 30 Закону України «Про місцеве самовря</w:t>
      </w:r>
      <w:r>
        <w:rPr>
          <w:szCs w:val="28"/>
        </w:rPr>
        <w:t xml:space="preserve">дування в Україні», </w:t>
      </w:r>
      <w:r>
        <w:rPr>
          <w:b/>
          <w:szCs w:val="28"/>
        </w:rPr>
        <w:t>виконавчий комітет Сумської міської ради</w:t>
      </w:r>
    </w:p>
    <w:p w:rsidR="00650296" w:rsidRDefault="00650296">
      <w:pPr>
        <w:tabs>
          <w:tab w:val="left" w:pos="567"/>
        </w:tabs>
        <w:ind w:firstLine="709"/>
        <w:jc w:val="both"/>
        <w:rPr>
          <w:b/>
          <w:szCs w:val="28"/>
        </w:rPr>
      </w:pPr>
    </w:p>
    <w:p w:rsidR="00650296" w:rsidRDefault="000625E4">
      <w:pPr>
        <w:tabs>
          <w:tab w:val="left" w:pos="5370"/>
        </w:tabs>
        <w:jc w:val="center"/>
        <w:rPr>
          <w:b/>
          <w:szCs w:val="28"/>
        </w:rPr>
      </w:pPr>
      <w:r>
        <w:rPr>
          <w:b/>
          <w:szCs w:val="28"/>
        </w:rPr>
        <w:t>ВИРІШИВ:</w:t>
      </w:r>
    </w:p>
    <w:p w:rsidR="00650296" w:rsidRDefault="00650296">
      <w:pPr>
        <w:tabs>
          <w:tab w:val="left" w:pos="5370"/>
        </w:tabs>
        <w:jc w:val="both"/>
        <w:rPr>
          <w:b/>
        </w:rPr>
      </w:pPr>
    </w:p>
    <w:p w:rsidR="00650296" w:rsidRDefault="000625E4">
      <w:pPr>
        <w:pStyle w:val="ae"/>
        <w:widowControl w:val="0"/>
        <w:numPr>
          <w:ilvl w:val="0"/>
          <w:numId w:val="1"/>
        </w:numPr>
        <w:tabs>
          <w:tab w:val="left" w:pos="993"/>
          <w:tab w:val="left" w:pos="1134"/>
        </w:tabs>
        <w:ind w:left="0" w:firstLine="709"/>
        <w:jc w:val="both"/>
      </w:pPr>
      <w:r>
        <w:rPr>
          <w:szCs w:val="28"/>
        </w:rPr>
        <w:t xml:space="preserve">Встановити </w:t>
      </w:r>
      <w:r>
        <w:rPr>
          <w:bCs/>
          <w:szCs w:val="28"/>
        </w:rPr>
        <w:t xml:space="preserve">розміри внесків за обслуговування вузлів комерційного обліку централізованого водопостачання, яке здійснюється                                          КП «Міськводоканал»  </w:t>
      </w:r>
      <w:r>
        <w:rPr>
          <w:bCs/>
          <w:szCs w:val="28"/>
        </w:rPr>
        <w:t>Сумської міської ради,</w:t>
      </w:r>
      <w:r>
        <w:rPr>
          <w:szCs w:val="28"/>
        </w:rPr>
        <w:t xml:space="preserve"> </w:t>
      </w:r>
      <w:r>
        <w:rPr>
          <w:bCs/>
          <w:szCs w:val="28"/>
        </w:rPr>
        <w:t xml:space="preserve">окремо для кожної будівлі </w:t>
      </w:r>
      <w:r>
        <w:rPr>
          <w:szCs w:val="28"/>
        </w:rPr>
        <w:t>згідно з додатком 1 до цього рішення.</w:t>
      </w:r>
    </w:p>
    <w:p w:rsidR="00650296" w:rsidRDefault="00650296">
      <w:pPr>
        <w:pStyle w:val="ae"/>
        <w:widowControl w:val="0"/>
        <w:tabs>
          <w:tab w:val="left" w:pos="993"/>
          <w:tab w:val="left" w:pos="1134"/>
        </w:tabs>
        <w:ind w:left="709"/>
        <w:jc w:val="both"/>
        <w:rPr>
          <w:szCs w:val="28"/>
        </w:rPr>
      </w:pPr>
    </w:p>
    <w:p w:rsidR="00650296" w:rsidRDefault="000625E4">
      <w:pPr>
        <w:pStyle w:val="ae"/>
        <w:widowControl w:val="0"/>
        <w:numPr>
          <w:ilvl w:val="0"/>
          <w:numId w:val="1"/>
        </w:numPr>
        <w:tabs>
          <w:tab w:val="left" w:pos="993"/>
          <w:tab w:val="left" w:pos="1134"/>
        </w:tabs>
        <w:ind w:left="0" w:firstLine="709"/>
        <w:jc w:val="both"/>
      </w:pPr>
      <w:r>
        <w:rPr>
          <w:szCs w:val="28"/>
        </w:rPr>
        <w:t xml:space="preserve">Встановити  </w:t>
      </w:r>
      <w:r>
        <w:rPr>
          <w:bCs/>
          <w:szCs w:val="28"/>
        </w:rPr>
        <w:t xml:space="preserve">розміри внесків за заміну, в тому числі використання обмінного фонду  вузлів комерційного обліку централізованого </w:t>
      </w:r>
      <w:r>
        <w:rPr>
          <w:bCs/>
          <w:szCs w:val="28"/>
        </w:rPr>
        <w:lastRenderedPageBreak/>
        <w:t xml:space="preserve">водопостачання, яке здійснюється КП </w:t>
      </w:r>
      <w:r>
        <w:rPr>
          <w:bCs/>
          <w:szCs w:val="28"/>
        </w:rPr>
        <w:t>«Міськводоканал» Сумської міської ради,</w:t>
      </w:r>
      <w:r>
        <w:rPr>
          <w:szCs w:val="28"/>
        </w:rPr>
        <w:t xml:space="preserve"> </w:t>
      </w:r>
      <w:r>
        <w:rPr>
          <w:bCs/>
          <w:szCs w:val="28"/>
        </w:rPr>
        <w:t xml:space="preserve">окремо для кожної будівлі </w:t>
      </w:r>
      <w:r>
        <w:rPr>
          <w:szCs w:val="28"/>
        </w:rPr>
        <w:t>згідно з додатком 2 до цього рішення.</w:t>
      </w:r>
    </w:p>
    <w:p w:rsidR="00650296" w:rsidRDefault="00650296">
      <w:pPr>
        <w:pStyle w:val="ae"/>
        <w:widowControl w:val="0"/>
        <w:tabs>
          <w:tab w:val="left" w:pos="993"/>
          <w:tab w:val="left" w:pos="1134"/>
        </w:tabs>
        <w:ind w:left="927"/>
        <w:jc w:val="both"/>
        <w:rPr>
          <w:szCs w:val="28"/>
        </w:rPr>
      </w:pPr>
    </w:p>
    <w:p w:rsidR="00650296" w:rsidRDefault="000625E4">
      <w:pPr>
        <w:pStyle w:val="ae"/>
        <w:widowControl w:val="0"/>
        <w:numPr>
          <w:ilvl w:val="0"/>
          <w:numId w:val="1"/>
        </w:numPr>
        <w:tabs>
          <w:tab w:val="left" w:pos="993"/>
          <w:tab w:val="left" w:pos="1134"/>
        </w:tabs>
        <w:ind w:left="0" w:firstLine="709"/>
        <w:jc w:val="both"/>
      </w:pPr>
      <w:r>
        <w:rPr>
          <w:bCs/>
          <w:szCs w:val="28"/>
        </w:rPr>
        <w:t>Встановити розміри внесків за заміну, в тому числі використання обмінного фонду та за обслуговування вузлів комерційного обліку централізованого водопо</w:t>
      </w:r>
      <w:r>
        <w:rPr>
          <w:bCs/>
          <w:szCs w:val="28"/>
        </w:rPr>
        <w:t>стачання, яке здійснюється КП «Міськводоканал» Сумської міської ради та затвердити перелік житлових будинків, які самостійно на договірних засадах вирішують питання обслуговування та заміни (в тому числі використання обмінного фонду) вузлів комерційного об</w:t>
      </w:r>
      <w:r>
        <w:rPr>
          <w:bCs/>
          <w:szCs w:val="28"/>
        </w:rPr>
        <w:t>ліку централізованого водопостачання, окремо для кожної будівлі згідно з додатком 3 до цього рішення.</w:t>
      </w:r>
    </w:p>
    <w:p w:rsidR="00650296" w:rsidRDefault="00650296">
      <w:pPr>
        <w:pStyle w:val="ae"/>
        <w:widowControl w:val="0"/>
        <w:tabs>
          <w:tab w:val="left" w:pos="993"/>
          <w:tab w:val="left" w:pos="1134"/>
        </w:tabs>
        <w:ind w:left="927"/>
        <w:jc w:val="both"/>
        <w:rPr>
          <w:bCs/>
          <w:szCs w:val="28"/>
        </w:rPr>
      </w:pPr>
    </w:p>
    <w:p w:rsidR="00650296" w:rsidRDefault="000625E4">
      <w:pPr>
        <w:pStyle w:val="ae"/>
        <w:widowControl w:val="0"/>
        <w:numPr>
          <w:ilvl w:val="0"/>
          <w:numId w:val="1"/>
        </w:numPr>
        <w:tabs>
          <w:tab w:val="left" w:pos="993"/>
          <w:tab w:val="left" w:pos="1134"/>
        </w:tabs>
        <w:ind w:left="0" w:firstLine="709"/>
        <w:jc w:val="both"/>
      </w:pPr>
      <w:r>
        <w:rPr>
          <w:bCs/>
          <w:szCs w:val="28"/>
        </w:rPr>
        <w:t xml:space="preserve">КП «Міськводоканал» Сумської міської ради (Сагач А.Г.) </w:t>
      </w:r>
      <w:r>
        <w:rPr>
          <w:szCs w:val="28"/>
        </w:rPr>
        <w:t xml:space="preserve">нарахування внесків </w:t>
      </w:r>
      <w:r>
        <w:rPr>
          <w:bCs/>
          <w:szCs w:val="28"/>
        </w:rPr>
        <w:t xml:space="preserve">за обслуговування та заміну, в тому числі використання обмінного фонду вузлів </w:t>
      </w:r>
      <w:r>
        <w:rPr>
          <w:bCs/>
          <w:szCs w:val="28"/>
        </w:rPr>
        <w:t>комерційного обліку централізованого водопостачання</w:t>
      </w:r>
      <w:r>
        <w:rPr>
          <w:szCs w:val="28"/>
        </w:rPr>
        <w:t xml:space="preserve"> здійснювати за кожний календарний квартал в останньому місяці розрахункового кварталу.</w:t>
      </w:r>
    </w:p>
    <w:p w:rsidR="00650296" w:rsidRDefault="00650296">
      <w:pPr>
        <w:pStyle w:val="ae"/>
        <w:widowControl w:val="0"/>
        <w:tabs>
          <w:tab w:val="left" w:pos="993"/>
          <w:tab w:val="left" w:pos="1134"/>
        </w:tabs>
        <w:ind w:left="567"/>
        <w:jc w:val="both"/>
        <w:rPr>
          <w:szCs w:val="28"/>
        </w:rPr>
      </w:pPr>
    </w:p>
    <w:p w:rsidR="00650296" w:rsidRDefault="000625E4">
      <w:pPr>
        <w:pStyle w:val="ac"/>
        <w:numPr>
          <w:ilvl w:val="0"/>
          <w:numId w:val="1"/>
        </w:numPr>
        <w:tabs>
          <w:tab w:val="left" w:pos="993"/>
        </w:tabs>
        <w:ind w:left="0" w:firstLine="567"/>
        <w:jc w:val="both"/>
      </w:pPr>
      <w:r>
        <w:rPr>
          <w:szCs w:val="28"/>
        </w:rPr>
        <w:t>Рішення набирає чинності з 01.10.2020.</w:t>
      </w:r>
    </w:p>
    <w:p w:rsidR="00650296" w:rsidRDefault="00650296">
      <w:pPr>
        <w:pStyle w:val="ae"/>
        <w:tabs>
          <w:tab w:val="left" w:pos="993"/>
        </w:tabs>
        <w:ind w:left="0" w:firstLine="567"/>
        <w:rPr>
          <w:szCs w:val="28"/>
        </w:rPr>
      </w:pPr>
    </w:p>
    <w:p w:rsidR="00650296" w:rsidRDefault="00650296">
      <w:pPr>
        <w:pStyle w:val="ac"/>
        <w:tabs>
          <w:tab w:val="left" w:pos="993"/>
        </w:tabs>
        <w:ind w:left="927"/>
        <w:jc w:val="both"/>
        <w:rPr>
          <w:szCs w:val="28"/>
        </w:rPr>
      </w:pPr>
    </w:p>
    <w:p w:rsidR="00650296" w:rsidRDefault="00650296">
      <w:pPr>
        <w:tabs>
          <w:tab w:val="left" w:pos="993"/>
        </w:tabs>
        <w:ind w:firstLine="567"/>
        <w:jc w:val="both"/>
        <w:rPr>
          <w:szCs w:val="28"/>
        </w:rPr>
      </w:pPr>
    </w:p>
    <w:p w:rsidR="00650296" w:rsidRDefault="00650296">
      <w:pPr>
        <w:tabs>
          <w:tab w:val="left" w:pos="993"/>
        </w:tabs>
        <w:ind w:firstLine="567"/>
        <w:jc w:val="both"/>
        <w:rPr>
          <w:szCs w:val="28"/>
        </w:rPr>
      </w:pPr>
    </w:p>
    <w:p w:rsidR="00650296" w:rsidRDefault="000625E4">
      <w:pPr>
        <w:rPr>
          <w:b/>
          <w:szCs w:val="28"/>
        </w:rPr>
      </w:pPr>
      <w:r>
        <w:rPr>
          <w:b/>
          <w:szCs w:val="28"/>
        </w:rPr>
        <w:t xml:space="preserve">Міський голова                                                           </w:t>
      </w:r>
      <w:r>
        <w:rPr>
          <w:b/>
          <w:szCs w:val="28"/>
        </w:rPr>
        <w:t xml:space="preserve">                   О.М. Лисенко</w:t>
      </w:r>
    </w:p>
    <w:p w:rsidR="00650296" w:rsidRDefault="00650296">
      <w:pPr>
        <w:pBdr>
          <w:bottom w:val="single" w:sz="12" w:space="1" w:color="00000A"/>
        </w:pBdr>
        <w:tabs>
          <w:tab w:val="left" w:pos="5370"/>
        </w:tabs>
        <w:rPr>
          <w:sz w:val="24"/>
        </w:rPr>
      </w:pPr>
    </w:p>
    <w:p w:rsidR="00650296" w:rsidRDefault="00650296">
      <w:pPr>
        <w:pBdr>
          <w:bottom w:val="single" w:sz="12" w:space="1" w:color="00000A"/>
        </w:pBdr>
        <w:tabs>
          <w:tab w:val="left" w:pos="5370"/>
        </w:tabs>
        <w:rPr>
          <w:sz w:val="24"/>
        </w:rPr>
      </w:pPr>
    </w:p>
    <w:p w:rsidR="00650296" w:rsidRDefault="000625E4">
      <w:pPr>
        <w:pBdr>
          <w:bottom w:val="single" w:sz="12" w:space="1" w:color="00000A"/>
        </w:pBdr>
        <w:tabs>
          <w:tab w:val="left" w:pos="5370"/>
        </w:tabs>
      </w:pPr>
      <w:r>
        <w:rPr>
          <w:sz w:val="24"/>
        </w:rPr>
        <w:t>Сагач А.Г.  700 180</w:t>
      </w:r>
    </w:p>
    <w:p w:rsidR="00650296" w:rsidRDefault="000625E4">
      <w:pPr>
        <w:tabs>
          <w:tab w:val="left" w:pos="0"/>
          <w:tab w:val="left" w:pos="5370"/>
        </w:tabs>
        <w:jc w:val="both"/>
        <w:rPr>
          <w:sz w:val="24"/>
        </w:rPr>
      </w:pPr>
      <w:r w:rsidRPr="000625E4">
        <w:rPr>
          <w:sz w:val="24"/>
        </w:rPr>
        <w:t>Розіслати: Журба О.І., Сагач А.Г.</w:t>
      </w:r>
    </w:p>
    <w:p w:rsidR="00650296" w:rsidRDefault="00650296">
      <w:pPr>
        <w:tabs>
          <w:tab w:val="left" w:pos="0"/>
          <w:tab w:val="left" w:pos="5370"/>
        </w:tabs>
        <w:jc w:val="both"/>
        <w:rPr>
          <w:sz w:val="24"/>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jc w:val="center"/>
        <w:rPr>
          <w:szCs w:val="28"/>
        </w:rPr>
      </w:pPr>
    </w:p>
    <w:p w:rsidR="00650296" w:rsidRDefault="00650296">
      <w:pPr>
        <w:ind w:firstLine="709"/>
        <w:jc w:val="both"/>
        <w:rPr>
          <w:szCs w:val="28"/>
        </w:rPr>
      </w:pPr>
    </w:p>
    <w:sectPr w:rsidR="00650296">
      <w:pgSz w:w="11906" w:h="16838"/>
      <w:pgMar w:top="1134" w:right="567" w:bottom="993" w:left="1701" w:header="0" w:footer="0" w:gutter="0"/>
      <w:cols w:space="720"/>
      <w:formProt w:val="0"/>
      <w:titlePg/>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85A"/>
    <w:multiLevelType w:val="multilevel"/>
    <w:tmpl w:val="AB9E6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AA1605"/>
    <w:multiLevelType w:val="multilevel"/>
    <w:tmpl w:val="F8CC678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96"/>
    <w:rsid w:val="000625E4"/>
    <w:rsid w:val="006502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DF58B-0836-4CE3-932F-3590DD9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A2F"/>
    <w:rPr>
      <w:rFonts w:ascii="Times New Roman" w:eastAsia="Times New Roman" w:hAnsi="Times New Roman" w:cs="Times New Roman"/>
      <w:color w:val="00000A"/>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qFormat/>
    <w:locked/>
    <w:rsid w:val="003B5A2F"/>
    <w:rPr>
      <w:sz w:val="28"/>
      <w:szCs w:val="24"/>
      <w:lang w:val="uk-UA"/>
    </w:rPr>
  </w:style>
  <w:style w:type="character" w:customStyle="1" w:styleId="1">
    <w:name w:val="Верхний колонтитул Знак1"/>
    <w:basedOn w:val="a0"/>
    <w:uiPriority w:val="99"/>
    <w:semiHidden/>
    <w:qFormat/>
    <w:rsid w:val="003B5A2F"/>
    <w:rPr>
      <w:rFonts w:ascii="Times New Roman" w:eastAsia="Times New Roman" w:hAnsi="Times New Roman" w:cs="Times New Roman"/>
      <w:sz w:val="28"/>
      <w:szCs w:val="24"/>
      <w:lang w:val="uk-UA" w:eastAsia="ru-RU"/>
    </w:rPr>
  </w:style>
  <w:style w:type="character" w:customStyle="1" w:styleId="a4">
    <w:name w:val="Основной текст Знак"/>
    <w:qFormat/>
    <w:locked/>
    <w:rsid w:val="003B5A2F"/>
    <w:rPr>
      <w:sz w:val="28"/>
      <w:szCs w:val="24"/>
      <w:lang w:val="uk-UA"/>
    </w:rPr>
  </w:style>
  <w:style w:type="character" w:customStyle="1" w:styleId="10">
    <w:name w:val="Основной текст Знак1"/>
    <w:basedOn w:val="a0"/>
    <w:uiPriority w:val="99"/>
    <w:semiHidden/>
    <w:qFormat/>
    <w:rsid w:val="003B5A2F"/>
    <w:rPr>
      <w:rFonts w:ascii="Times New Roman" w:eastAsia="Times New Roman" w:hAnsi="Times New Roman" w:cs="Times New Roman"/>
      <w:sz w:val="28"/>
      <w:szCs w:val="24"/>
      <w:lang w:val="uk-UA" w:eastAsia="ru-RU"/>
    </w:rPr>
  </w:style>
  <w:style w:type="character" w:customStyle="1" w:styleId="a5">
    <w:name w:val="Текст выноски Знак"/>
    <w:basedOn w:val="a0"/>
    <w:uiPriority w:val="99"/>
    <w:semiHidden/>
    <w:qFormat/>
    <w:rsid w:val="003B5A2F"/>
    <w:rPr>
      <w:rFonts w:ascii="Tahoma" w:eastAsia="Times New Roman" w:hAnsi="Tahoma" w:cs="Tahoma"/>
      <w:sz w:val="16"/>
      <w:szCs w:val="16"/>
      <w:lang w:val="uk-UA" w:eastAsia="ru-RU"/>
    </w:rPr>
  </w:style>
  <w:style w:type="character" w:customStyle="1" w:styleId="-">
    <w:name w:val="Интернет-ссылка"/>
    <w:basedOn w:val="a0"/>
    <w:uiPriority w:val="99"/>
    <w:semiHidden/>
    <w:unhideWhenUsed/>
    <w:rsid w:val="000B20ED"/>
    <w:rPr>
      <w:color w:val="0000FF"/>
      <w:u w:val="single"/>
    </w:rPr>
  </w:style>
  <w:style w:type="character" w:customStyle="1" w:styleId="a6">
    <w:name w:val="Нижний колонтитул Знак"/>
    <w:basedOn w:val="a0"/>
    <w:uiPriority w:val="99"/>
    <w:qFormat/>
    <w:rsid w:val="00323B86"/>
    <w:rPr>
      <w:rFonts w:ascii="Times New Roman" w:eastAsia="Times New Roman" w:hAnsi="Times New Roman" w:cs="Times New Roman"/>
      <w:sz w:val="28"/>
      <w:szCs w:val="24"/>
      <w:lang w:val="uk-UA" w:eastAsia="ru-RU"/>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paragraph" w:customStyle="1" w:styleId="11">
    <w:name w:val="Заголовок1"/>
    <w:basedOn w:val="a"/>
    <w:next w:val="a7"/>
    <w:qFormat/>
    <w:pPr>
      <w:keepNext/>
      <w:spacing w:before="240" w:after="120"/>
    </w:pPr>
    <w:rPr>
      <w:rFonts w:ascii="Liberation Sans" w:eastAsia="Microsoft YaHei" w:hAnsi="Liberation Sans" w:cs="Arial"/>
      <w:szCs w:val="28"/>
    </w:rPr>
  </w:style>
  <w:style w:type="paragraph" w:styleId="a7">
    <w:name w:val="Body Text"/>
    <w:basedOn w:val="a"/>
    <w:rsid w:val="003B5A2F"/>
    <w:rPr>
      <w:rFonts w:asciiTheme="minorHAnsi" w:eastAsiaTheme="minorHAnsi" w:hAnsiTheme="minorHAnsi" w:cstheme="minorBidi"/>
      <w:lang w:eastAsia="en-US"/>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rPr>
  </w:style>
  <w:style w:type="paragraph" w:styleId="aa">
    <w:name w:val="index heading"/>
    <w:basedOn w:val="a"/>
    <w:qFormat/>
    <w:pPr>
      <w:suppressLineNumbers/>
    </w:pPr>
    <w:rPr>
      <w:rFonts w:cs="Arial"/>
    </w:rPr>
  </w:style>
  <w:style w:type="paragraph" w:styleId="ab">
    <w:name w:val="header"/>
    <w:basedOn w:val="a"/>
    <w:uiPriority w:val="99"/>
    <w:rsid w:val="003B5A2F"/>
    <w:pPr>
      <w:tabs>
        <w:tab w:val="center" w:pos="4819"/>
        <w:tab w:val="right" w:pos="9639"/>
      </w:tabs>
    </w:pPr>
    <w:rPr>
      <w:rFonts w:asciiTheme="minorHAnsi" w:eastAsiaTheme="minorHAnsi" w:hAnsiTheme="minorHAnsi" w:cstheme="minorBidi"/>
      <w:lang w:eastAsia="en-US"/>
    </w:rPr>
  </w:style>
  <w:style w:type="paragraph" w:styleId="ac">
    <w:name w:val="No Spacing"/>
    <w:uiPriority w:val="1"/>
    <w:qFormat/>
    <w:rsid w:val="003B5A2F"/>
    <w:rPr>
      <w:rFonts w:ascii="Times New Roman" w:eastAsia="Times New Roman" w:hAnsi="Times New Roman" w:cs="Times New Roman"/>
      <w:color w:val="00000A"/>
      <w:sz w:val="28"/>
      <w:szCs w:val="24"/>
      <w:lang w:val="uk-UA" w:eastAsia="ru-RU"/>
    </w:rPr>
  </w:style>
  <w:style w:type="paragraph" w:styleId="ad">
    <w:name w:val="Balloon Text"/>
    <w:basedOn w:val="a"/>
    <w:uiPriority w:val="99"/>
    <w:semiHidden/>
    <w:unhideWhenUsed/>
    <w:qFormat/>
    <w:rsid w:val="003B5A2F"/>
    <w:rPr>
      <w:rFonts w:ascii="Tahoma" w:hAnsi="Tahoma" w:cs="Tahoma"/>
      <w:sz w:val="16"/>
      <w:szCs w:val="16"/>
    </w:rPr>
  </w:style>
  <w:style w:type="paragraph" w:styleId="ae">
    <w:name w:val="List Paragraph"/>
    <w:basedOn w:val="a"/>
    <w:uiPriority w:val="34"/>
    <w:qFormat/>
    <w:rsid w:val="00864B4B"/>
    <w:pPr>
      <w:ind w:left="720"/>
      <w:contextualSpacing/>
    </w:pPr>
  </w:style>
  <w:style w:type="paragraph" w:styleId="af">
    <w:name w:val="footer"/>
    <w:basedOn w:val="a"/>
    <w:uiPriority w:val="99"/>
    <w:unhideWhenUsed/>
    <w:rsid w:val="00323B8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Pages>
  <Words>433</Words>
  <Characters>2472</Characters>
  <Application>Microsoft Office Word</Application>
  <DocSecurity>0</DocSecurity>
  <Lines>20</Lines>
  <Paragraphs>5</Paragraphs>
  <ScaleCrop>false</ScaleCrop>
  <Company>Home</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Шуліпа Ольга Василівна</cp:lastModifiedBy>
  <cp:revision>63</cp:revision>
  <cp:lastPrinted>2020-06-17T15:51:00Z</cp:lastPrinted>
  <dcterms:created xsi:type="dcterms:W3CDTF">2019-05-08T07:09:00Z</dcterms:created>
  <dcterms:modified xsi:type="dcterms:W3CDTF">2020-06-24T06:38:00Z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