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65232" w:rsidRPr="0054154B" w:rsidTr="00991107">
        <w:trPr>
          <w:trHeight w:val="1122"/>
          <w:jc w:val="center"/>
        </w:trPr>
        <w:tc>
          <w:tcPr>
            <w:tcW w:w="4253" w:type="dxa"/>
          </w:tcPr>
          <w:p w:rsidR="00C65232" w:rsidRPr="0054154B" w:rsidRDefault="00C65232" w:rsidP="009911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65232" w:rsidRPr="0054154B" w:rsidRDefault="00C65232" w:rsidP="0099110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4154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E019F2" wp14:editId="39501F1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5232" w:rsidRPr="0054154B" w:rsidRDefault="00C65232" w:rsidP="0099110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5232" w:rsidRPr="0054154B" w:rsidRDefault="00C65232" w:rsidP="00C6523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5232" w:rsidRPr="0054154B" w:rsidRDefault="00C65232" w:rsidP="00C652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C65232" w:rsidRPr="0054154B" w:rsidRDefault="00C65232" w:rsidP="00C652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65232" w:rsidRPr="0054154B" w:rsidRDefault="00C65232" w:rsidP="00C6523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C65232" w:rsidRPr="0054154B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5232" w:rsidRPr="0054154B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9E2B9B" w:rsidRPr="009E2B9B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E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 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9E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9E3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bookmarkStart w:id="0" w:name="_GoBack"/>
      <w:bookmarkEnd w:id="0"/>
    </w:p>
    <w:p w:rsidR="00C65232" w:rsidRPr="0054154B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4575"/>
      </w:tblGrid>
      <w:tr w:rsidR="00C65232" w:rsidRPr="009E36E8" w:rsidTr="00991107">
        <w:tc>
          <w:tcPr>
            <w:tcW w:w="4968" w:type="dxa"/>
          </w:tcPr>
          <w:p w:rsidR="00C65232" w:rsidRPr="0054154B" w:rsidRDefault="00C65232" w:rsidP="009911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Про внесення на розгляд Сумської міської ради питання «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Про хід виконання  цільової комплексної Програми розвитку культури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Сумської міської територіальної громади 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на 2019-2021 роки, 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затвердженої рішенням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Сумської міської ради від 19 грудня 2018 року № 4329-МР (зі змінами)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,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за 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підсумками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20</w:t>
            </w:r>
            <w:r w:rsidRPr="00541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Pr="00541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»</w:t>
            </w:r>
          </w:p>
        </w:tc>
        <w:tc>
          <w:tcPr>
            <w:tcW w:w="4603" w:type="dxa"/>
          </w:tcPr>
          <w:p w:rsidR="00C65232" w:rsidRPr="0054154B" w:rsidRDefault="00C65232" w:rsidP="0099110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65232" w:rsidRPr="0054154B" w:rsidRDefault="00C65232" w:rsidP="00C65232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5232" w:rsidRPr="0054154B" w:rsidRDefault="00C65232" w:rsidP="00C65232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6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Положення про Порядок розробки, затвердження та виконання міських цільових (комплексних) програм, програм економічного і соціального розвитку міста Суми та виконання міського бюджету (зі змінами)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1 частини другої статті 52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виконавчий комітет Сумської міської ради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C65232" w:rsidRPr="0054154B" w:rsidRDefault="00C65232" w:rsidP="00C65232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65232" w:rsidRPr="0054154B" w:rsidRDefault="00C65232" w:rsidP="00C65232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C65232" w:rsidRPr="0054154B" w:rsidRDefault="00C65232" w:rsidP="00C65232">
      <w:pPr>
        <w:tabs>
          <w:tab w:val="left" w:pos="1080"/>
        </w:tabs>
        <w:spacing w:after="0" w:line="240" w:lineRule="auto"/>
        <w:ind w:left="720" w:hanging="777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C65232" w:rsidRPr="0054154B" w:rsidRDefault="00C65232" w:rsidP="00C65232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1. </w:t>
      </w:r>
      <w:r w:rsidRPr="0054154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Схвалити та </w:t>
      </w:r>
      <w:proofErr w:type="spellStart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на розгляд Сумської міської ради питання «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хід виконання  цільової комплексної Програми розвитку культури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Сумської 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2019-2021 роки, 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затвердженої рішенням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 (зі змінами)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підсумками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541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року» (додається).</w:t>
      </w:r>
    </w:p>
    <w:p w:rsidR="00C65232" w:rsidRPr="0054154B" w:rsidRDefault="00C65232" w:rsidP="00C65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5232" w:rsidRPr="0054154B" w:rsidRDefault="00C65232" w:rsidP="00C65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культури Сумської міської ради (Цибульська Н.О.) підготувати відповідний </w:t>
      </w:r>
      <w:proofErr w:type="spellStart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кт</w:t>
      </w:r>
      <w:proofErr w:type="spellEnd"/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на розгляд Сумської міської ради.</w:t>
      </w:r>
    </w:p>
    <w:p w:rsidR="00C65232" w:rsidRPr="0054154B" w:rsidRDefault="00C65232" w:rsidP="00C65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5232" w:rsidRPr="0054154B" w:rsidRDefault="00C65232" w:rsidP="00C652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3. 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541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541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виконанням рішення покласти на заступника міського голови з питань діяльності виконавчих органів ради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Полякова С</w:t>
      </w:r>
      <w:r w:rsidRPr="00541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</w:p>
    <w:p w:rsidR="00C65232" w:rsidRPr="0054154B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232" w:rsidRPr="0054154B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232" w:rsidRPr="0054154B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5232" w:rsidRPr="0054154B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1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О.М. Лисенко</w:t>
      </w:r>
    </w:p>
    <w:p w:rsidR="00C65232" w:rsidRPr="0054154B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5232" w:rsidRPr="0054154B" w:rsidRDefault="00C65232" w:rsidP="00C652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Пєхова, 66-99-0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C65232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Полякову С</w:t>
      </w: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.В., Липовій С.А., Цибульській Н.О.</w:t>
      </w:r>
    </w:p>
    <w:p w:rsidR="00C65232" w:rsidRPr="0054154B" w:rsidRDefault="00C65232" w:rsidP="00C65232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C65232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541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</w:p>
    <w:p w:rsidR="00C65232" w:rsidRDefault="00C65232" w:rsidP="00C652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</w:t>
      </w:r>
      <w:r w:rsidR="009E2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19.03.2021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№ </w:t>
      </w:r>
      <w:r w:rsidR="009E2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149</w:t>
      </w:r>
    </w:p>
    <w:p w:rsidR="00C65232" w:rsidRDefault="00C65232" w:rsidP="00C652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5232" w:rsidRPr="00796A96" w:rsidRDefault="00C65232" w:rsidP="00C6523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6A96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Інформація</w:t>
      </w:r>
    </w:p>
    <w:p w:rsidR="00C65232" w:rsidRDefault="00C65232" w:rsidP="00C6523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хід</w:t>
      </w:r>
      <w:r w:rsidRPr="00A2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виконання  </w:t>
      </w:r>
      <w:r w:rsidRPr="00A2145A">
        <w:rPr>
          <w:rFonts w:ascii="Times New Roman" w:hAnsi="Times New Roman" w:cs="Times New Roman"/>
          <w:b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Pr="00A214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Сумської міської ради від 19 грудня 2018 року № 4329-МР (зі змінами)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,</w:t>
      </w:r>
      <w:r w:rsidRPr="00A2145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A2145A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2020 року</w:t>
      </w:r>
      <w:r w:rsidRPr="00A2145A">
        <w:rPr>
          <w:b/>
          <w:sz w:val="28"/>
          <w:szCs w:val="28"/>
          <w:lang w:val="uk-UA"/>
        </w:rPr>
        <w:t xml:space="preserve"> </w:t>
      </w:r>
    </w:p>
    <w:p w:rsidR="00C65232" w:rsidRDefault="00C65232" w:rsidP="00C65232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І. Культурно-масова робота. 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Відповідно до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Постанов Кабінету Міністрів України від 11.03.2020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  <w:t xml:space="preserve">№ 211 «Про запобігання поширенню на території України гострої респіраторної хвороби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коронавірусом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-2» (зі змінами) та 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br/>
        <w:t xml:space="preserve">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COVID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-19, спричиненої коронавірусом </w:t>
      </w:r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SARS</w:t>
      </w:r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8"/>
          <w:lang w:val="en-US" w:eastAsia="ru-RU"/>
        </w:rPr>
        <w:t>CoV</w:t>
      </w:r>
      <w:proofErr w:type="spellEnd"/>
      <w:r w:rsidRPr="00A2145A">
        <w:rPr>
          <w:rFonts w:ascii="Times New Roman" w:eastAsia="Batang" w:hAnsi="Times New Roman" w:cs="Times New Roman"/>
          <w:sz w:val="28"/>
          <w:szCs w:val="28"/>
          <w:lang w:val="uk-UA" w:eastAsia="ru-RU"/>
        </w:rPr>
        <w:t>-2»  від 22.07.2020 (зі змінами), проведення основної кількісті заходів було відмінено.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цільової комплексної Програми розвитку культури </w:t>
      </w:r>
      <w:r w:rsidRPr="009E62B6">
        <w:rPr>
          <w:rFonts w:ascii="Times New Roman" w:hAnsi="Times New Roman" w:cs="Times New Roman"/>
          <w:sz w:val="28"/>
          <w:szCs w:val="28"/>
          <w:lang w:val="uk-UA"/>
        </w:rPr>
        <w:t>Сумської міської  територіальної громади</w:t>
      </w:r>
      <w:r w:rsidRPr="00A21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2019 - 2021 роки» (зі змінами)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проведено  24 заходи.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І –му півріччі 2020 року проведено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заходів, у тому числі  1 дитячий фестиваль-конкурс «Джаз-Вітраж», який відбувся дистанційно.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культури було організовано та проведено заходи з нагоди відзначення державних свят та урочисті мітинги з нагоди Дня Соборності України,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вшанування учасників бойових дій на території інших держав, Героїв Небесної Сотні,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народження Т.Г. Шевченка,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75-ї річниці Перемоги над нацизмом у Другій світовій війні, 100-річчя з Дня народження І.М. Кожедуба та Дня Конституції України.</w:t>
      </w:r>
    </w:p>
    <w:p w:rsidR="00C65232" w:rsidRPr="00A2145A" w:rsidRDefault="00C65232" w:rsidP="00C652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Одним із улюблених заходів для сумчан являється театралізоване свято «Сумська масляна»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відбулось в парку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культури та відпочинку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ім. 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 Кожедуб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останній день лютого.  Сумчанам була представлена театралізована програма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«Масляну гуляємо, весь сумський рід прославляємо!»,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обряд спалення Опудала, конкурс «Красуня Масляна 2020»,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розважально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-ігрова програма «Масляна усюди, веселіться, люди!», «Млинцями пригощаємо – Масляну зустрічаємо», святкова концертна програма,  спортивні конкурси «Гирьов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чемпіонат»,  перетягування канату, «Веселі старти», конкурси для дітей та інші розваги. Усі учасники ігрових програм отримали подарунки та заохочувальні призи від організаторів свята, а переможниця  конкурсу «Красуня Масляна» отримала у подарунок телевізор від спонсорів свята  -ТМ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Тріолан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 ІІ півріччі 2020 року було проведено  1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3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заходів.</w:t>
      </w:r>
    </w:p>
    <w:p w:rsidR="00C65232" w:rsidRDefault="00C65232" w:rsidP="00C65232">
      <w:pPr>
        <w:spacing w:after="0" w:line="240" w:lineRule="auto"/>
        <w:ind w:firstLine="513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866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Серед них: міжнародний фестиваль-симпозіум «Простір покордоння», який  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вже став флагманом ленд-арту для митців зі всієї України і не тільки;  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сьомий фото пленер «Перекотиполе», в якому брали участь  фотохудожники з Києва, Полтави та Сум;  </w:t>
      </w:r>
      <w:r w:rsidRPr="00866B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фестиваль вуличних мистецтв «Харитоненко-фест»</w:t>
      </w:r>
      <w:r w:rsidRPr="00866B6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часниками  якого стали команди з Харкова, Дніпра,  Кривого Рогу, Житомира та Сум. 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Основною локацією фестивалю став Покровський сквер. </w:t>
      </w:r>
    </w:p>
    <w:p w:rsidR="00C65232" w:rsidRPr="00866B63" w:rsidRDefault="00C65232" w:rsidP="00C65232">
      <w:pPr>
        <w:spacing w:after="0" w:line="240" w:lineRule="auto"/>
        <w:ind w:firstLine="513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Сумчани із задоволенням знайомились з  "живими" скульптурами у Покровському сквері, на Театральній площі, вулиці Соборній. Також, у рамках фестивалю, до Сум вперше завітав театр маріонеток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>Комплімент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м. </w:t>
      </w:r>
      <w:r w:rsidRPr="00866B6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Житомира. Глядачі обирали  найкращу "живу" скульптуру. </w:t>
      </w:r>
      <w:r w:rsidRPr="008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рамках фестивалю проводились також розважальні ігри та конкурси, цікаві екскурсії по місту.</w:t>
      </w:r>
      <w:r w:rsidRPr="00866B63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C65232" w:rsidRPr="00A2145A" w:rsidRDefault="00C65232" w:rsidP="00C6523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З нагоди відзначення 77-ї річниці визволення міста Суми від фашистських загарбників біля  Меморіального комплексу «Вічна Слава» відбувся мітинг-реквієм «Війна відгриміла та пам'ять жива».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Мітинг розпочався з літературної композиції про визволення міста, після чого над Меморіалом лунала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пісня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«Місто моє» у виконанні вокального ансамблю «Кадет»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Державного ліцею-інтернату  з посиленою фізичною підготовкою «Кадетський корпус» </w:t>
      </w:r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  <w:t xml:space="preserve">ім. І.Г. </w:t>
      </w:r>
      <w:proofErr w:type="spellStart"/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Державної прикордонної служби України.</w:t>
      </w:r>
      <w:r w:rsidRPr="00A2145A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Хвилиною мовчання вшанували пам'ять усіх загиблих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у Великій Вітчизняній війні.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підніжжя Меморіалу «Вічна Слава» покладались квіти. Лунали залпи салюту.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рамках відзначення Дня міста було проведено низьку заходів:  соціально-культурний проект «Найкращому місту - нашу любов!» з флеш-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мобами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 класами, фотосесі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тощо; у живописному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подвір’ї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СумДУ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під чарівні звуки відомих музичних творів, у виконанні камерного оркестру «Ренесанс», відбувався прийом офіційних делегацій;  у залі обласної філармонії відбулась урочиста сесія Сумської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міської ради «Зі святом, рідне місто!»; сумчан зі святом вітали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живі скульптури та казкові герої арт-проекту «Казкова країна»; у Покровському сквері для дітей була підготовлена яскрава розважальна програма.  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Сумська художня школа ім. М.Г. Лисенка підготувала для сумчан виставку робіт випускників «Місто, яке я люблю», що була розгорнута у сквері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ім. І.Г.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Сумські бібліотеки до Дня м. Суми підготували та втілили в життя великий краєзнавчий проект- акцію  «Рідному місту – з любов’ю!».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кожному мікрорайоні міста сумчани мали змогу долучитися до пізнавальної акції та більше дізнатися про історію рідного міста. </w:t>
      </w:r>
    </w:p>
    <w:p w:rsidR="00C65232" w:rsidRPr="00A2145A" w:rsidRDefault="00C65232" w:rsidP="00C65232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ab/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 зважаючи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скасування проведення </w:t>
      </w: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фестивалю «Сурми України», сумчани та гості міста все ж таки отримали можливість почути відомі музичні твори у виконанні місцевих військових оркестрів. 05 вересня 2020 року в рамках святкування Дня міста військові сурми заграли в рамках арт-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проєкту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 «Сумські вечірні мелодії».</w:t>
      </w:r>
    </w:p>
    <w:p w:rsidR="00C65232" w:rsidRPr="00A2145A" w:rsidRDefault="00C65232" w:rsidP="00C65232">
      <w:pPr>
        <w:shd w:val="clear" w:color="auto" w:fill="FFFFFF"/>
        <w:spacing w:after="0" w:line="235" w:lineRule="atLeast"/>
        <w:ind w:firstLine="708"/>
        <w:jc w:val="both"/>
        <w:rPr>
          <w:rFonts w:ascii="Calibri" w:eastAsia="Times New Roman" w:hAnsi="Calibri" w:cs="Calibri"/>
          <w:color w:val="222222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Біля пам’ятника Цукру своє мистецтво радо дарували прихильникам духової музики оркестр 27-ї Сумської реактивної артилерійської бригади  - диригент капітан Євген 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Сочков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оркестр Державного ліцею-інтернату з посиленою військово-фізичною підготовкою «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Кадецький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корпус» імені І.Г. </w:t>
      </w:r>
      <w:proofErr w:type="spellStart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Харитоненка</w:t>
      </w:r>
      <w:proofErr w:type="spellEnd"/>
      <w:r w:rsidRPr="00A2145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Державної прикордонної служби України – диригент Валерій Поперечний. 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відзначення Дня міста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відбувся соціально-мистецький проект «Чарівні сумчанки. Три пелюстки жіночості»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якому була представлена ретроспектива становлення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жіночої особистості. Також п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свято роменського мікрорайону «Ми-сумчани!». Для мешканців мікрорайону була підготовлена яскрава концертна програма, конкурси,  розважальні  та спортивні заходи.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У вересні відбулись заходи і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з нагоди Дня партизанської слави. Біля  Монументу «Слава героям Сумщини» відбувся мітинг-реквієм.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Зі спогадами та  промовою на мітингу виступили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партизан-розвідник М.В.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Подик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голова ради Сумської міської організації ветеранів України В.І.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Ничипоренко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звуки метроному хвилиною мовчання вшанували пам'ять усіх загиблих у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другій світовій  війні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,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звучали залпи військового салюту. До Монументу покладались квіти.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провадженням карантинних обмежень, п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де-яких заходів перейшло в онлайн-режим. Б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уло проведено відкритий фестиваль-конкурс вокального мистецтва «Золотий голос». У різних номінаціях брали участь майже 30 учасників. </w:t>
      </w:r>
    </w:p>
    <w:p w:rsidR="00C65232" w:rsidRPr="00A2145A" w:rsidRDefault="00C65232" w:rsidP="00C65232">
      <w:pPr>
        <w:spacing w:after="0"/>
        <w:ind w:firstLine="54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Он-лайн відбувся і відкритий конкурс юних скульпторів  ім. М.Г. Лисенка, учасниками якого стали 73 юних дарування. Переможці конкурсу отримали дипломи та пам’ятні медалі.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Новорічні заходи також відбулись в умовах карантинних обмежень. Відділом культури було забезпечено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реалізацію створення дитячої новорічної відео-казки «Пригоди Грінча в місті Суми», показ якої було здійснено в інтернет-просторі. </w:t>
      </w:r>
    </w:p>
    <w:p w:rsidR="00C65232" w:rsidRPr="00A2145A" w:rsidRDefault="00C65232" w:rsidP="00C65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A214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 метою збереження та відродження народних традицій, виховання почуття поваги до національної культури, популяризацію народного мистецтва було втілено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мистецький проект «Світло Різдвяної зірки»,  в рамках якого у</w:t>
      </w:r>
      <w:r w:rsidRPr="00A2145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 Конгрес-центрі,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 виставку кращих робіт</w:t>
      </w:r>
      <w:r w:rsidRPr="00A214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вихованців дитячої художньої школи ім. М. Г. Лисенка, Палацу дітей та юнацтва, Сумського обласного центру позашкільної освіти та роботи з талановитою молоддю. У творчих роботах втілено художні здібності вихованців закладів позашкільної освіти при зображенні різдвяної зірки, їх бачення обрядового символу, та водночас уміння співпрацювати з наставником при виконанні складних форм образотворчого мистецтва в академічній (живопис, графіка) та декоративній (витинанки, зірки) техніках.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Усі обдаровані діти отримали солодкі подарунки до новорічних свят.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Програми,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2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ідділом культури Сумської міської ради організовано та забезпечено участь 9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та викладачів Сумських шкіл естетичного виховання у міжнародному конкурсі-фестивалі мистецтв «Підкори сцену» (м. Київ). Учасники –учні Сумської дитячої музичної школи № 3,  здобули три перших місця та два других.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участь у фестивалі-конкурсі використано кошти в сумі  3893 гривні.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</w:pPr>
      <w:r w:rsidRPr="00A2145A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Відповідно до Програми, у рамках вшанування діячів культури, науки, спорту, почесних громадян м. Суми, у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жовтні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було </w:t>
      </w:r>
      <w:r w:rsidRPr="00A214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забезпечено проведення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урочистостей з нагоди </w:t>
      </w:r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100 -річчя від дня народження Почесного громадянина міста Суми М.П. </w:t>
      </w:r>
      <w:proofErr w:type="spellStart"/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Лушпи</w:t>
      </w:r>
      <w:proofErr w:type="spellEnd"/>
      <w:r w:rsidRPr="00A214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словами вдячності видатній особі, виступили керівники області та міста, представники громадськості та сумського земляцтва.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До підніжжя пам’ятника М.П. </w:t>
      </w:r>
      <w:proofErr w:type="spellStart"/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Лушпи</w:t>
      </w:r>
      <w:proofErr w:type="spellEnd"/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покладались квіти.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ko-KR"/>
        </w:rPr>
        <w:t xml:space="preserve">Музичний супровід заходу забезпечував військовий оркестр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27-ї Сумської реактивної артилерійської бригади.</w:t>
      </w:r>
    </w:p>
    <w:p w:rsidR="00C65232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65232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232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232" w:rsidRPr="00A2145A" w:rsidRDefault="00C65232" w:rsidP="00C6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У цілому, в умовах карантинних обмежень, культурно-мистецькими заходами було охоплено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34,1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складає 29,7 % до планового річного показника (115,0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 Така статистика зумовлена відміною великої кількості заходів, у тому числі фестивалю «Сурми України»: кількість загальноміських культурно-мистецьких заходів у 2020 року (24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у співвідношенні до 2019 року (44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зменшилась на 45,5 %, а кількість глядачів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(34, 1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складає лише 28,4 % показника за 2019 рік (120,0 тис.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Касові видатки на організацію та проведення заходів підпрограми </w:t>
      </w:r>
      <w:r w:rsidRPr="00A214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br/>
        <w:t>І «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Культурно-масова робота» у 2020 році</w:t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становлять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847,6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тис. </w:t>
      </w:r>
      <w:r w:rsidRPr="00A2145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гривень.</w:t>
      </w:r>
      <w:r w:rsidRPr="00A2145A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 xml:space="preserve"> </w:t>
      </w:r>
    </w:p>
    <w:p w:rsidR="00C65232" w:rsidRPr="00A2145A" w:rsidRDefault="00C65232" w:rsidP="00C6523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C65232" w:rsidRPr="00A2145A" w:rsidRDefault="00C65232" w:rsidP="00C6523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ІІ. Розвиток бібліотечної галузі міста.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роботу міських бібліотек,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умовах карантинних обмежень,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2020 році основні показники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порівнянні з 2019 роком зменшились більше ніж на 50 %.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кінець року показники роботи бібліотек Сумської міської централізованої бібліотечної системи становлять:</w:t>
      </w:r>
    </w:p>
    <w:p w:rsidR="00C65232" w:rsidRPr="00A2145A" w:rsidRDefault="00C65232" w:rsidP="00C652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кількість читачів – 46,6 тис.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чол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.;</w:t>
      </w:r>
    </w:p>
    <w:p w:rsidR="00C65232" w:rsidRPr="00A2145A" w:rsidRDefault="00C65232" w:rsidP="00C652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відвідувань – 193,9 тис. разів;</w:t>
      </w:r>
    </w:p>
    <w:p w:rsidR="00C65232" w:rsidRPr="00A2145A" w:rsidRDefault="00C65232" w:rsidP="00C652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Кількість книговидач – 683,6 тис. видань.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Натомість у 2020 році активізувалась робота бібліотек в інтернет-форматі.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високий рівень комп’ютеризації Сумської ЦБС, функціонування бібліотечного сайту, блогів, наявність сторінок у соціальних мережах та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ютуб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-каналів після введення карантину надання бібліотечних послуг перейшло в інтернет-простір.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Міські бібліотеки активно пропонували користувачам онлайн-ресурси та онлайн-послуги; </w:t>
      </w:r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активно інформували про визначні події, знаменні дати, цікаві книги та радили, як корисно і змістовно проводити час вдома. На сайті ЦБС та у соціальних мережах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Фейсбук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та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Інстаграм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розміщувались корисні поради читачам, огляди-рекомендації щодо книжок, які можна почитати на карантині, онлайн-кросворди, вікторини, конкурси, </w:t>
      </w:r>
      <w:proofErr w:type="spellStart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слай</w:t>
      </w:r>
      <w:proofErr w:type="spellEnd"/>
      <w:r w:rsidRPr="00A2145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-презентації, відеоролики, віртуальні виставки тощо. Крім того, проводились онлайн-навчання для бібліотекарів.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тим, бібліотекари продовжували свою діяльність в телефонному режимі, висвітлювали нові надходження літератури, виконували бібліографічні письмові та відео довідки за допомогою Інтернет-сервісів «Messenger» та «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Загалом у 2020 році користувачам було запропоновано 1993 одиниці бібліотечного онлайн-контенту. Кількість онлайн-переглядів становить 183,6 тис. разів.  Тож, кожен бібліотечний інтернет-продукт у середньому зацікавив 90 онлайн-користувачів.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матеріалів, які найбільш зацікавили інтернет спільноту - веб-бібліографічні дайджести до Дня космонавтики, Дня довкілля та Дня Землі, до Дня міста Суми та 100-річчя Івана Кожедуба.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65 безкоштовних клубів за інтересами, які працюють при бібліотеках, згуртовували сумчан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живим спілкуванням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17 березня, потім їх робота теж перейшла в </w:t>
      </w: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інтерет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-формат.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Крім того, центральна бібліотека ім. Т.Г. Шевченка для бібліотечних фахівців провела 11 онлайн-занять з різних напрямків діяльності бібліотек в умовах карантинних обмежень.</w:t>
      </w:r>
    </w:p>
    <w:p w:rsidR="00C65232" w:rsidRPr="00A2145A" w:rsidRDefault="00C65232" w:rsidP="00C65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кінець 2020 року спеціалізованою бібліотекою-філією № 17  Сумської міської централізованої бібліотечної системи було обслуговано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658 інвалідів. Здебільшого послуги надавались в інтернет-форматі та через нестаціонарні форми  роботи. Серед досягнень цього напрямку діяльності ЦБС – захід- підведення підсумків першого етапу спортивно-інтеграційних ігор онлайн, приурочених до Міжнародного Дня людей з інвалідністю, в яких взяли участь близько 100 учасників із Сумщини та інших регіонів України, а також з Чехії, Грузії та Латвії.</w:t>
      </w:r>
    </w:p>
    <w:p w:rsidR="00C65232" w:rsidRPr="00A2145A" w:rsidRDefault="00C65232" w:rsidP="00C65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усього року продовжував активно працювати і сайт inva-center.sumy.ua.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великої кількості інформаційно-масових та просвітницьких заходів, які проводили бібліотекари у приміщеннях та на вулицях міста до оголошення карантину, слід відзначити зустрічі, вечори спілкування з учасниками АТО та заходи, спрямовані на героїзацію осіб, які віддали життя за Україну та вшанування їх пам’яті.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таких заходів: </w:t>
      </w:r>
    </w:p>
    <w:p w:rsidR="00C65232" w:rsidRPr="00A2145A" w:rsidRDefault="00C65232" w:rsidP="00C6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вечір пам’яті «Ім’я твоє вічне», присвячений жителю села Піщане Віталію Маслянці, який загинув в АТО;</w:t>
      </w:r>
    </w:p>
    <w:p w:rsidR="00C65232" w:rsidRPr="00A2145A" w:rsidRDefault="00C65232" w:rsidP="00C6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патріотичний урок «Життя обірване на злеті» (для учнів Сумського вищого професійного училища будівництва та автотранспорту);</w:t>
      </w:r>
    </w:p>
    <w:p w:rsidR="00C65232" w:rsidRPr="00A2145A" w:rsidRDefault="00C65232" w:rsidP="00C6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урок мужності «А сотню вже зустріли небеса» для учнів 10-х класів ЗОШ №27;</w:t>
      </w:r>
    </w:p>
    <w:p w:rsidR="00C65232" w:rsidRPr="00A2145A" w:rsidRDefault="00C65232" w:rsidP="00C6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акція «Україна та її сучасні герої»;</w:t>
      </w:r>
    </w:p>
    <w:p w:rsidR="00C65232" w:rsidRPr="00A2145A" w:rsidRDefault="00C65232" w:rsidP="00C65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хвилини безсмертя з циклу «Герої АТО – наші земляки» - «Роман </w:t>
      </w:r>
      <w:proofErr w:type="spellStart"/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>Атаманюк</w:t>
      </w:r>
      <w:proofErr w:type="spellEnd"/>
      <w:r w:rsidRPr="00A214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позивний «Берест» та інші. </w:t>
      </w:r>
    </w:p>
    <w:p w:rsidR="00C65232" w:rsidRPr="00A2145A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Підпрограма ІІІ. Розвиток естетичного виховання підростаючого покоління. 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Сумські дитячі музичні школи та дитяча художня школа ім. М.Г. Лисенка у звітному періоді надавали послуги з початкової мистецької освіти, як у звичайному режимі, так і у дистанційному форматі. На зважаючи на особливості навчального процесу з карантинними обмеженнями контингент учнів збережено. </w:t>
      </w:r>
    </w:p>
    <w:p w:rsidR="00C65232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01.01.21 року він становив 1786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осіб. 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52 випускники шкіл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 xml:space="preserve">продовжили здобувати мистецьку освіту у вищих навчальних закладах. 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кошти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ОТГ у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3,9 тисяч гривень було забезпечено участь учнів ДМШ № 3 у Міжнародному конкурсі-фестивалі мистецтв «Підкори сцену», який проходив в Києві на початку лютого 2020 року. 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 І-місця та два ІІ-місця. 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за час карантину активізувалась участь дітей і у різноманітних конкурсних заходах, які проводились у інтернет-режимі. Так, 647 учнів сумських мистецьких шкіл взяли участь у 105 конкурсах та фестивалях, здобувши 495 призових місць (результативність 76,5%</w:t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Талановиті діти прославили Суми на міжнародних та всеукраїнських онлайн конкурсах та фестивалях, які організовували міста України (Київ, Харків, Одеса, Дніпро, Львів, Запоріжжя, Миколаїв, Переяслав-Хмельницький, Маріуполь, Бердянськ) та зарубіжжя: Польщі, Чехії, Сербії, Туреччини, Болгарії та Італії.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підтримки відділу культури у 2020 році в онлайн-форматі були проведені: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фестиваль –конкурс «Джаз-Вітраж», у якому взяли участь 323 юних музиканти з міст Києва, Чернігова, Маріуполя, Дніпра, Сум тощо; 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конкурс юних скульпторів ім. М.Г. Лисенка, учасниками якого стали 73 вихованця мистецьких навчальних закладів Сум, Харкова, Полтави, Луцька. Чернівців, Херсону та інших міст України. </w:t>
      </w:r>
    </w:p>
    <w:p w:rsidR="00C65232" w:rsidRPr="00A2145A" w:rsidRDefault="00C65232" w:rsidP="00C65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Підпрограма ІV. Розвиток та модернізація існуючої мережі закладів культури міста. 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1. Модернізація матеріально-технічної бази та розвиток міської централізованої бібліотечної системи. Виконується.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1.1. У 2020 році бібліотечний фонд ЦБС поповнено книжковою продукцією на суму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107,00 тис. гривень (985 примірників).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1.2  Оформлено передплату на періодичні видання України на суму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179,0 тис. грн.( 197 назв, 529 примірників).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1.3. Оновлено меблі на загальну суму 114,6 тис. гривень. для бібліотек-</w:t>
      </w:r>
      <w:r w:rsidRPr="006E71A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філій №№ 1; 3; 12; 14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(стільці, полиці,  столи, стелажі).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1.4. Відбулось придбання обладнання і предметів довгострокового користування на загальну суму 143,4 тис. грн. (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комп’ютерів, 2 багатофункціональні пристрої та 1 системний блок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1.5. Проведення поточних ремонтів: зроблено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ремонт коридору бібліотеки-філії № 3, ремонт сходин і пандусу бібліотеки-філії № 7 та ремонт гардеробної кімнати бібліотеки-філії № 14 на загальну суму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- 198,8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тис. гривень.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  <w:t xml:space="preserve">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1.6. На капітальні ремонти з бюджету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Сумської міської ОТГ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2020 році кошти не виділялись.</w:t>
      </w:r>
    </w:p>
    <w:p w:rsidR="00C65232" w:rsidRPr="00A2145A" w:rsidRDefault="00C65232" w:rsidP="00C652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модернізацію матеріально-технічної бази та розвиток міської централізованої бібліотечної системи у 2020 році було використано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742,9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тис. гривень.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Модернізація навчальної та матеріально-технічної бази шкіл естетичного виховання дітей.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Придбання музичних інструментів: придбання концертного роялю для дитячої музичної школи № 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509,5 тис. гр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ивень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2.2-2.6. Оновлення меблів, придбання обладнання і предметів довгострокового користування, 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передплата на періодичні видання,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поточні ремонти приміщень: здійснено оплату на  підписку періодичних видань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8,9 тис. грн.; зроблено</w:t>
      </w:r>
      <w:r w:rsidRPr="00A214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поточний ремонт коридору ДМШ № 4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br/>
        <w:t>213,2 тис. гривень.</w:t>
      </w: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році на модернізацію навчальної та матеріально-технічної бази шкіл естетичного виховання дітей використано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731,6 тис. гривень.</w:t>
      </w:r>
    </w:p>
    <w:p w:rsidR="00C65232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65232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65232" w:rsidRPr="00A2145A" w:rsidRDefault="00C65232" w:rsidP="00C652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3. Модернізація матеріально-технічної бази  та розвиток клубних закладів. </w:t>
      </w:r>
    </w:p>
    <w:p w:rsidR="00C65232" w:rsidRPr="00A2145A" w:rsidRDefault="00C65232" w:rsidP="00C6523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3.1-3.3. Оновлення меблів, придбання обладнання і предметів довгострокового користування:  придбано </w:t>
      </w:r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тенісний та письмовий столи (7,7 тис. грн.) для </w:t>
      </w:r>
      <w:proofErr w:type="spellStart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Піщанського</w:t>
      </w:r>
      <w:proofErr w:type="spellEnd"/>
      <w:r w:rsidRPr="00A214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клубу «Супутник» та підвісний екран (15,2 тис. грн.)  для 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удинку культури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2020 році для розвитку клубних закладів використано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22,9 тис. гривень.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виконання підпрограми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ІV. Розвиток та модернізація існуючої мережі закладів культури міста використано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1497,4 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тис. грн.,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 6,3% більше ніж у 2019 році (1049,8 тис. гривень).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</w:t>
      </w:r>
    </w:p>
    <w:p w:rsidR="00C65232" w:rsidRPr="00A2145A" w:rsidRDefault="00C65232" w:rsidP="00C65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Підпрограма  VI. Збереження культурної спадщини міста.</w:t>
      </w:r>
    </w:p>
    <w:p w:rsidR="00C65232" w:rsidRPr="00A2145A" w:rsidRDefault="00C65232" w:rsidP="00C65232">
      <w:pPr>
        <w:numPr>
          <w:ilvl w:val="1"/>
          <w:numId w:val="2"/>
        </w:numPr>
        <w:tabs>
          <w:tab w:val="clear" w:pos="1425"/>
          <w:tab w:val="num" w:pos="0"/>
          <w:tab w:val="num" w:pos="284"/>
        </w:tabs>
        <w:spacing w:after="0" w:line="240" w:lineRule="auto"/>
        <w:ind w:left="0" w:firstLine="56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рамках Програми було виготовлено 32 одиниц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облікових карток та паспортів на 8 об'єктів  історії та монументального мистецтва на загальну суму </w:t>
      </w:r>
      <w:r w:rsidRPr="00A2145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8,5 тис. гривень.</w:t>
      </w:r>
    </w:p>
    <w:p w:rsidR="00C65232" w:rsidRPr="00A2145A" w:rsidRDefault="00C65232" w:rsidP="00C65232">
      <w:pPr>
        <w:tabs>
          <w:tab w:val="num" w:pos="1425"/>
        </w:tabs>
        <w:spacing w:after="0" w:line="240" w:lineRule="auto"/>
        <w:ind w:hanging="114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Н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кінець 2020 року всього паспортизовано 59 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об’єктів культурної спадщини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(всього об’єктів - 124 од.)</w:t>
      </w:r>
      <w:r w:rsidRPr="00A2145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Загальний відсоток  паспортизованих об’єктів культурної спадщини до їх загальної кількості зріс на 7,3 % (з 40,3 % у 2019 році до 47,6 % у 2020 році). </w:t>
      </w:r>
    </w:p>
    <w:p w:rsidR="00C65232" w:rsidRPr="00A2145A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32" w:rsidRPr="00A2145A" w:rsidRDefault="00C65232" w:rsidP="00C652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цілому,  на виконання 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цільової комплексної Програми розвитку культури  </w:t>
      </w:r>
      <w:r w:rsidRPr="00A2145A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 на 2019 – 2021 роки</w:t>
      </w:r>
      <w:r w:rsidRPr="00A21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Pr="00A214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2020 році було використано кошти у сумі  </w:t>
      </w:r>
      <w:r w:rsidRPr="00FB5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2353,5 </w:t>
      </w:r>
      <w:r w:rsidRPr="00A214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тис. гривень,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46,0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менше попереднього року (4357,6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214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 р.)</w:t>
      </w:r>
    </w:p>
    <w:p w:rsidR="00C6523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523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523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523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523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7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культури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Pr="00DC7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Н.О. Цибульська</w:t>
      </w:r>
    </w:p>
    <w:p w:rsidR="00C6523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5174" w:rsidRDefault="00B45174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</w:pPr>
    </w:p>
    <w:p w:rsidR="00C65232" w:rsidRDefault="00C65232">
      <w:pPr>
        <w:rPr>
          <w:lang w:val="uk-UA"/>
        </w:rPr>
        <w:sectPr w:rsidR="00C65232" w:rsidSect="00C65232">
          <w:pgSz w:w="11906" w:h="16838"/>
          <w:pgMar w:top="1134" w:right="680" w:bottom="284" w:left="1701" w:header="709" w:footer="709" w:gutter="0"/>
          <w:cols w:space="708"/>
          <w:docGrid w:linePitch="360"/>
        </w:sectPr>
      </w:pPr>
    </w:p>
    <w:p w:rsidR="00C65232" w:rsidRDefault="00C65232" w:rsidP="00C65232">
      <w:pPr>
        <w:spacing w:after="0" w:line="240" w:lineRule="auto"/>
        <w:ind w:left="10980" w:firstLine="12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C65232" w:rsidRDefault="00C65232" w:rsidP="00C65232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інформації </w:t>
      </w:r>
      <w:r w:rsidRPr="0017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хід </w:t>
      </w:r>
      <w:r w:rsidRPr="00170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 </w:t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 Сумської міської  територіальної громади на 2019 – 2021 роки, затвердженої рішенням</w:t>
      </w:r>
      <w:r w:rsidRPr="00170E22">
        <w:rPr>
          <w:rFonts w:ascii="Times New Roman" w:hAnsi="Times New Roman" w:cs="Times New Roman"/>
          <w:sz w:val="28"/>
          <w:szCs w:val="24"/>
          <w:lang w:val="uk-UA"/>
        </w:rPr>
        <w:t xml:space="preserve"> Сумської міської ради від 19 грудня 2018 року № 4329-МР (зі змінами)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170E2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70E22">
        <w:rPr>
          <w:rFonts w:ascii="Times New Roman" w:hAnsi="Times New Roman" w:cs="Times New Roman"/>
          <w:sz w:val="28"/>
          <w:szCs w:val="28"/>
          <w:lang w:val="uk-UA"/>
        </w:rPr>
        <w:t>2020 року</w:t>
      </w:r>
    </w:p>
    <w:p w:rsidR="00C65232" w:rsidRPr="00170E22" w:rsidRDefault="00C65232" w:rsidP="00C65232">
      <w:pPr>
        <w:spacing w:after="0" w:line="240" w:lineRule="auto"/>
        <w:ind w:left="9781"/>
        <w:jc w:val="both"/>
        <w:rPr>
          <w:sz w:val="28"/>
          <w:szCs w:val="28"/>
          <w:lang w:val="uk-UA"/>
        </w:rPr>
      </w:pPr>
      <w:r w:rsidRPr="00170E22">
        <w:rPr>
          <w:sz w:val="28"/>
          <w:szCs w:val="28"/>
          <w:lang w:val="uk-UA"/>
        </w:rPr>
        <w:t xml:space="preserve"> </w:t>
      </w:r>
    </w:p>
    <w:p w:rsidR="00C65232" w:rsidRPr="00170E22" w:rsidRDefault="00C65232" w:rsidP="00C65232">
      <w:pPr>
        <w:spacing w:after="0" w:line="240" w:lineRule="auto"/>
        <w:ind w:left="109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232" w:rsidRPr="00170E22" w:rsidRDefault="00C65232" w:rsidP="00C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хід 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рограми та </w:t>
      </w:r>
    </w:p>
    <w:p w:rsidR="00C65232" w:rsidRPr="00170E22" w:rsidRDefault="00C65232" w:rsidP="00C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ефективність реалізації завдань за бюджетними програмами 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</w:p>
    <w:p w:rsidR="00C65232" w:rsidRPr="00170E22" w:rsidRDefault="00C65232" w:rsidP="00C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C65232" w:rsidRDefault="00C65232" w:rsidP="00C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ільової комплексної Програми </w:t>
      </w:r>
    </w:p>
    <w:p w:rsidR="00C65232" w:rsidRPr="00170E22" w:rsidRDefault="00C65232" w:rsidP="00C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розвитку культури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Сумської міської територіальної громади </w:t>
      </w:r>
      <w:r w:rsidRPr="00170E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на 2019-2021 роки</w:t>
      </w:r>
      <w:r w:rsidRPr="00170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C65232" w:rsidRPr="00170E22" w:rsidRDefault="00C65232" w:rsidP="00C6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</w:p>
    <w:p w:rsidR="00C65232" w:rsidRPr="00170E2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232" w:rsidRPr="00170E2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11798"/>
      </w:tblGrid>
      <w:tr w:rsidR="00C65232" w:rsidRPr="00170E22" w:rsidTr="00991107">
        <w:tc>
          <w:tcPr>
            <w:tcW w:w="828" w:type="dxa"/>
          </w:tcPr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60" w:type="dxa"/>
          </w:tcPr>
          <w:p w:rsidR="00C65232" w:rsidRPr="00170E22" w:rsidRDefault="00C65232" w:rsidP="00991107">
            <w:pPr>
              <w:ind w:left="72" w:hanging="432"/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___</w:t>
            </w:r>
            <w:r w:rsidRPr="00170E22">
              <w:rPr>
                <w:sz w:val="24"/>
                <w:szCs w:val="24"/>
                <w:u w:val="single"/>
                <w:lang w:val="uk-UA"/>
              </w:rPr>
              <w:t>10_</w:t>
            </w:r>
            <w:r w:rsidRPr="00170E22">
              <w:rPr>
                <w:sz w:val="24"/>
                <w:szCs w:val="24"/>
                <w:lang w:val="uk-UA"/>
              </w:rPr>
              <w:t>_____</w:t>
            </w:r>
          </w:p>
          <w:p w:rsidR="00C65232" w:rsidRPr="00170E22" w:rsidRDefault="00C65232" w:rsidP="00991107">
            <w:pPr>
              <w:ind w:left="72" w:hanging="432"/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(код ПКВКМБ)</w:t>
            </w:r>
          </w:p>
        </w:tc>
        <w:tc>
          <w:tcPr>
            <w:tcW w:w="11798" w:type="dxa"/>
          </w:tcPr>
          <w:p w:rsidR="00C65232" w:rsidRPr="00170E22" w:rsidRDefault="00C65232" w:rsidP="00991107">
            <w:pPr>
              <w:tabs>
                <w:tab w:val="left" w:pos="432"/>
              </w:tabs>
              <w:ind w:right="890"/>
              <w:jc w:val="both"/>
              <w:rPr>
                <w:sz w:val="28"/>
                <w:szCs w:val="28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170E22">
              <w:rPr>
                <w:sz w:val="24"/>
                <w:szCs w:val="24"/>
                <w:u w:val="single"/>
                <w:lang w:val="uk-UA"/>
              </w:rPr>
              <w:t xml:space="preserve">            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Відділ культури Сумської міської ради</w:t>
            </w:r>
            <w:r w:rsidRPr="00170E22">
              <w:rPr>
                <w:sz w:val="28"/>
                <w:szCs w:val="28"/>
                <w:lang w:val="uk-UA"/>
              </w:rPr>
              <w:t>___</w:t>
            </w:r>
          </w:p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  <w:t xml:space="preserve">        найменування головного розпорядника коштів програми</w:t>
            </w:r>
          </w:p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5232" w:rsidRPr="00170E22" w:rsidTr="00991107">
        <w:tc>
          <w:tcPr>
            <w:tcW w:w="828" w:type="dxa"/>
          </w:tcPr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60" w:type="dxa"/>
          </w:tcPr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___</w:t>
            </w:r>
            <w:r w:rsidRPr="00170E22">
              <w:rPr>
                <w:sz w:val="24"/>
                <w:szCs w:val="24"/>
                <w:u w:val="single"/>
                <w:lang w:val="uk-UA"/>
              </w:rPr>
              <w:t>1010000</w:t>
            </w:r>
            <w:r w:rsidRPr="00170E22">
              <w:rPr>
                <w:sz w:val="24"/>
                <w:szCs w:val="24"/>
                <w:lang w:val="uk-UA"/>
              </w:rPr>
              <w:t>_____    (код ПКВКМБ)</w:t>
            </w:r>
          </w:p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98" w:type="dxa"/>
          </w:tcPr>
          <w:p w:rsidR="00C65232" w:rsidRPr="00170E22" w:rsidRDefault="00C65232" w:rsidP="00991107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______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Відділ культури Сумської міської</w:t>
            </w:r>
            <w:r w:rsidRPr="00170E22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170E22">
              <w:rPr>
                <w:sz w:val="24"/>
                <w:szCs w:val="24"/>
                <w:lang w:val="uk-UA"/>
              </w:rPr>
              <w:t>_</w:t>
            </w:r>
            <w:r w:rsidRPr="00170E22">
              <w:rPr>
                <w:sz w:val="28"/>
                <w:szCs w:val="28"/>
                <w:u w:val="single"/>
                <w:lang w:val="uk-UA"/>
              </w:rPr>
              <w:t>ради</w:t>
            </w:r>
            <w:r w:rsidRPr="00170E22">
              <w:rPr>
                <w:sz w:val="24"/>
                <w:szCs w:val="24"/>
                <w:lang w:val="uk-UA"/>
              </w:rPr>
              <w:t>_____</w:t>
            </w: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</w:r>
            <w:r w:rsidRPr="00170E22">
              <w:rPr>
                <w:sz w:val="24"/>
                <w:szCs w:val="24"/>
                <w:lang w:val="uk-UA"/>
              </w:rPr>
              <w:tab/>
            </w:r>
          </w:p>
          <w:p w:rsidR="00C65232" w:rsidRPr="00170E22" w:rsidRDefault="00C65232" w:rsidP="00991107">
            <w:pPr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                             найменування відповідального виконавця програми</w:t>
            </w:r>
          </w:p>
        </w:tc>
      </w:tr>
      <w:tr w:rsidR="00C65232" w:rsidRPr="00170E22" w:rsidTr="00991107">
        <w:tc>
          <w:tcPr>
            <w:tcW w:w="828" w:type="dxa"/>
          </w:tcPr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60" w:type="dxa"/>
          </w:tcPr>
          <w:p w:rsidR="00C65232" w:rsidRPr="00170E22" w:rsidRDefault="00C65232" w:rsidP="00991107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1011100;</w:t>
            </w:r>
          </w:p>
          <w:p w:rsidR="00C65232" w:rsidRPr="00170E22" w:rsidRDefault="00C65232" w:rsidP="00991107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1014030;</w:t>
            </w:r>
          </w:p>
          <w:p w:rsidR="00C65232" w:rsidRPr="00170E22" w:rsidRDefault="00C65232" w:rsidP="00991107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1014081;</w:t>
            </w:r>
          </w:p>
          <w:p w:rsidR="00C65232" w:rsidRPr="00170E22" w:rsidRDefault="00C65232" w:rsidP="00991107">
            <w:pPr>
              <w:ind w:left="72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1014082;</w:t>
            </w:r>
          </w:p>
          <w:p w:rsidR="00C65232" w:rsidRPr="00170E22" w:rsidRDefault="00C65232" w:rsidP="00991107">
            <w:pPr>
              <w:ind w:left="72"/>
              <w:rPr>
                <w:sz w:val="24"/>
                <w:szCs w:val="24"/>
                <w:u w:val="single"/>
                <w:lang w:val="uk-UA"/>
              </w:rPr>
            </w:pPr>
            <w:r w:rsidRPr="00170E22">
              <w:rPr>
                <w:sz w:val="24"/>
                <w:szCs w:val="24"/>
                <w:u w:val="single"/>
                <w:lang w:val="uk-UA"/>
              </w:rPr>
              <w:t>101</w:t>
            </w:r>
            <w:r>
              <w:rPr>
                <w:sz w:val="24"/>
                <w:szCs w:val="24"/>
                <w:u w:val="single"/>
                <w:lang w:val="uk-UA"/>
              </w:rPr>
              <w:t>4060</w:t>
            </w:r>
          </w:p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(код ПКВКМБ)</w:t>
            </w:r>
          </w:p>
          <w:p w:rsidR="00C6523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65232" w:rsidRPr="00170E22" w:rsidRDefault="00C65232" w:rsidP="0099110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98" w:type="dxa"/>
          </w:tcPr>
          <w:p w:rsidR="00C65232" w:rsidRPr="00170E22" w:rsidRDefault="00C65232" w:rsidP="00991107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8"/>
                <w:szCs w:val="28"/>
                <w:u w:val="single"/>
                <w:lang w:val="uk-UA"/>
              </w:rPr>
              <w:t>«</w:t>
            </w:r>
            <w:r>
              <w:rPr>
                <w:sz w:val="28"/>
                <w:szCs w:val="28"/>
                <w:u w:val="single"/>
                <w:lang w:val="uk-UA"/>
              </w:rPr>
              <w:t>Ц</w:t>
            </w:r>
            <w:r w:rsidRPr="00170E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ільова комплексна Програма розвитку культури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Сумської міської територіальної громади </w:t>
            </w:r>
            <w:r w:rsidRPr="00170E22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на 2019-2021 роки», </w:t>
            </w:r>
            <w:r w:rsidRPr="00170E22">
              <w:rPr>
                <w:sz w:val="28"/>
                <w:szCs w:val="28"/>
                <w:u w:val="single"/>
                <w:lang w:val="uk-UA"/>
              </w:rPr>
              <w:t>затверджена рішенням</w:t>
            </w:r>
            <w:r w:rsidRPr="00170E22">
              <w:rPr>
                <w:sz w:val="28"/>
                <w:szCs w:val="24"/>
                <w:u w:val="single"/>
                <w:lang w:val="uk-UA"/>
              </w:rPr>
              <w:t xml:space="preserve"> Сумської міської ради від 19 грудня </w:t>
            </w:r>
            <w:r>
              <w:rPr>
                <w:sz w:val="28"/>
                <w:szCs w:val="24"/>
                <w:u w:val="single"/>
                <w:lang w:val="uk-UA"/>
              </w:rPr>
              <w:br/>
            </w:r>
            <w:r w:rsidRPr="00170E22">
              <w:rPr>
                <w:sz w:val="28"/>
                <w:szCs w:val="24"/>
                <w:u w:val="single"/>
                <w:lang w:val="uk-UA"/>
              </w:rPr>
              <w:t>2018</w:t>
            </w:r>
            <w:r>
              <w:rPr>
                <w:sz w:val="28"/>
                <w:szCs w:val="24"/>
                <w:u w:val="single"/>
                <w:lang w:val="uk-UA"/>
              </w:rPr>
              <w:t xml:space="preserve"> </w:t>
            </w:r>
            <w:r w:rsidRPr="00170E22">
              <w:rPr>
                <w:sz w:val="28"/>
                <w:szCs w:val="24"/>
                <w:u w:val="single"/>
                <w:lang w:val="uk-UA"/>
              </w:rPr>
              <w:t>року № 4329-МР (зі змінами)</w:t>
            </w:r>
            <w:r w:rsidRPr="00170E22">
              <w:rPr>
                <w:sz w:val="28"/>
                <w:szCs w:val="24"/>
                <w:lang w:val="uk-UA"/>
              </w:rPr>
              <w:t xml:space="preserve"> </w:t>
            </w:r>
          </w:p>
          <w:p w:rsidR="00C65232" w:rsidRPr="00170E22" w:rsidRDefault="00C65232" w:rsidP="00991107">
            <w:pPr>
              <w:jc w:val="center"/>
              <w:rPr>
                <w:sz w:val="24"/>
                <w:szCs w:val="24"/>
                <w:lang w:val="uk-UA"/>
              </w:rPr>
            </w:pPr>
            <w:r w:rsidRPr="00170E22"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tbl>
      <w:tblPr>
        <w:tblW w:w="15755" w:type="dxa"/>
        <w:tblInd w:w="-309" w:type="dxa"/>
        <w:tblLayout w:type="fixed"/>
        <w:tblLook w:val="01E0" w:firstRow="1" w:lastRow="1" w:firstColumn="1" w:lastColumn="1" w:noHBand="0" w:noVBand="0"/>
      </w:tblPr>
      <w:tblGrid>
        <w:gridCol w:w="446"/>
        <w:gridCol w:w="2693"/>
        <w:gridCol w:w="993"/>
        <w:gridCol w:w="850"/>
        <w:gridCol w:w="709"/>
        <w:gridCol w:w="992"/>
        <w:gridCol w:w="851"/>
        <w:gridCol w:w="992"/>
        <w:gridCol w:w="850"/>
        <w:gridCol w:w="851"/>
        <w:gridCol w:w="992"/>
        <w:gridCol w:w="851"/>
        <w:gridCol w:w="3685"/>
      </w:tblGrid>
      <w:tr w:rsidR="00C65232" w:rsidRPr="003C792B" w:rsidTr="00991107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завдань програми</w:t>
            </w:r>
          </w:p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 у розрізі ПКВКМБ)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Планові обсяги фінансування, тис. грн.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Фактичні обсяги фінансування, тис. грн.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Стан виконання (показники ефективності)</w:t>
            </w:r>
          </w:p>
        </w:tc>
      </w:tr>
      <w:tr w:rsidR="00C65232" w:rsidRPr="003C792B" w:rsidTr="00991107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Інші </w:t>
            </w:r>
          </w:p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-ла </w:t>
            </w: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держ</w:t>
            </w:r>
            <w:proofErr w:type="spellEnd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Місцевий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Інші </w:t>
            </w:r>
            <w:proofErr w:type="spellStart"/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джере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ла </w:t>
            </w:r>
          </w:p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інансу-вання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65232" w:rsidRPr="003C792B" w:rsidTr="00991107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</w:t>
            </w:r>
          </w:p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F775A7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Pr="00F775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C65232" w:rsidRPr="003C792B" w:rsidTr="00991107">
        <w:trPr>
          <w:trHeight w:val="1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5E0FF1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C65232" w:rsidRPr="003C792B" w:rsidTr="0099110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ільова комплексна Програма розвитку культури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Сумської міської територіальної громади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на 2019 - 2021 роки» (зі змінами)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тому числі: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A51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A51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jc w:val="center"/>
            </w:pPr>
            <w:r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2353,5</w:t>
            </w:r>
          </w:p>
          <w:p w:rsidR="00C65232" w:rsidRPr="001A5103" w:rsidRDefault="00C65232" w:rsidP="0099110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1A5103" w:rsidRDefault="00C65232" w:rsidP="00991107">
            <w:pPr>
              <w:jc w:val="center"/>
            </w:pPr>
            <w:r w:rsidRPr="001A5103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2353,5</w:t>
            </w:r>
          </w:p>
          <w:p w:rsidR="00C65232" w:rsidRPr="001A5103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5232" w:rsidRPr="003C792B" w:rsidTr="0099110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І. Культурно-масова робота</w:t>
            </w:r>
          </w:p>
        </w:tc>
      </w:tr>
      <w:tr w:rsidR="00C65232" w:rsidRPr="003C792B" w:rsidTr="00991107">
        <w:trPr>
          <w:trHeight w:val="2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Завдання1: Проведення  культурно-мистецьких заходів та організація змістовного дозвілля</w:t>
            </w: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E0FF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 1014082</w:t>
            </w: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69717C" w:rsidRDefault="00C65232" w:rsidP="00991107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Культурно-мистецьке життя міста у 2020 році, через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запровадження 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>карантинн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обмежен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B309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було не таким насиченим, як у попередні роки.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Проведено 24 загальноміських культурно-мистецьких заходів. Заходами охоплено 34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тис.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., що складає 29,7 % до планового річного показника (115,0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тис.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).</w:t>
            </w:r>
          </w:p>
        </w:tc>
      </w:tr>
      <w:tr w:rsidR="00C65232" w:rsidRPr="009E36E8" w:rsidTr="0099110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69717C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1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ІІ. Розвиток бібліотечної галузі міста</w:t>
            </w:r>
          </w:p>
        </w:tc>
      </w:tr>
      <w:tr w:rsidR="00C65232" w:rsidRPr="003C792B" w:rsidTr="0099110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2D08E7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Завдання1: Вдосконалення форм та методів 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бібліотечно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бібліографічного обслуговування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69717C" w:rsidRDefault="00C65232" w:rsidP="00991107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У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 xml:space="preserve"> 2020 році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,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>після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>введення карантин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них обмежень,</w:t>
            </w:r>
            <w:r w:rsidRPr="002D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08E7">
              <w:rPr>
                <w:rFonts w:ascii="Times New Roman" w:eastAsia="Calibri" w:hAnsi="Times New Roman" w:cs="Times New Roman"/>
                <w:lang w:val="uk-UA" w:eastAsia="ru-RU"/>
              </w:rPr>
              <w:t>активізувалась робота бібліотек в інтернет-форматі</w:t>
            </w:r>
            <w:r w:rsidRPr="0069717C">
              <w:rPr>
                <w:rFonts w:ascii="Times New Roman" w:eastAsia="Calibri" w:hAnsi="Times New Roman" w:cs="Times New Roman"/>
                <w:lang w:val="uk-UA" w:eastAsia="ru-RU"/>
              </w:rPr>
              <w:t>, у</w:t>
            </w:r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69717C">
              <w:rPr>
                <w:rFonts w:ascii="Times New Roman" w:eastAsia="Times New Roman" w:hAnsi="Times New Roman" w:cs="Times New Roman"/>
                <w:lang w:val="uk-UA" w:eastAsia="ru-RU"/>
              </w:rPr>
              <w:t>.  з залученням до бібліотечних послуг нових віртуальних користувачів.</w:t>
            </w:r>
          </w:p>
        </w:tc>
      </w:tr>
      <w:tr w:rsidR="00C65232" w:rsidRPr="003C792B" w:rsidTr="0099110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ІІІ. Розвиток естетичного виховання підростаючого покоління</w:t>
            </w:r>
          </w:p>
        </w:tc>
      </w:tr>
      <w:tr w:rsidR="00C65232" w:rsidRPr="003C792B" w:rsidTr="0099110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1: Залучення дітей до мистецької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Контингент учнів шкіл естетичного виховання дітей є стабільним</w:t>
            </w:r>
            <w:r w:rsidRPr="00C12C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C65232" w:rsidRDefault="00C65232" w:rsidP="00C6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73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993"/>
        <w:gridCol w:w="850"/>
        <w:gridCol w:w="709"/>
        <w:gridCol w:w="992"/>
        <w:gridCol w:w="709"/>
        <w:gridCol w:w="1134"/>
        <w:gridCol w:w="850"/>
        <w:gridCol w:w="851"/>
        <w:gridCol w:w="992"/>
        <w:gridCol w:w="709"/>
        <w:gridCol w:w="3827"/>
      </w:tblGrid>
      <w:tr w:rsidR="00C65232" w:rsidRPr="003C792B" w:rsidTr="0099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C65232" w:rsidRPr="009E36E8" w:rsidTr="0099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2: Підтримка творчої ініціативи учнів та викладачів шкіл естетичного виховання дітей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Коштів не потре-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бує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Зростає  рівень виконавської май-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стерності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учнів, збільшилась кількість переможців у різноманітних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дистанційних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конкурсних заходах Всеукраїнського та Міжнародного рівнів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C65232" w:rsidRPr="003C792B" w:rsidTr="0099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E61436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6143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ІV. Розвиток та модернізація існуючої мережі закладів культури міста</w:t>
            </w:r>
          </w:p>
        </w:tc>
      </w:tr>
      <w:tr w:rsidR="00C65232" w:rsidRPr="003C792B" w:rsidTr="0099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Всього на виконання підпрограми ІV, у </w:t>
            </w:r>
            <w:proofErr w:type="spellStart"/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т.ч</w:t>
            </w:r>
            <w:proofErr w:type="spellEnd"/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4902,2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65232" w:rsidRPr="003C792B" w:rsidTr="00991107">
        <w:trPr>
          <w:trHeight w:val="3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1. Модернізація матеріально-технічної бази та розвиток міської централізованої бібліотечної системи</w:t>
            </w:r>
          </w:p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 1014030</w:t>
            </w: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2787,5</w:t>
            </w: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2787,5</w:t>
            </w: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Бібліотечний фонд поповнено  </w:t>
            </w:r>
            <w:r w:rsidRP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985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прим. книжкової продукції; оформлено передплату періодичних видань України</w:t>
            </w:r>
            <w:r w:rsidRPr="003C79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3C79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26B5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529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примірники; оновлено меблі для бібліотек-філій №№ 1; 3; 12; 14 (полиці,  столи,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стільці,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стелажі); відбулось придбання обладнання предметів довго-строкового користування (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багатофункціональні пристрої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системний блок, 6 комп’ютерів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).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Проведено поточні ремонти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бібліотек-філі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й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 7; 14 .</w:t>
            </w:r>
          </w:p>
        </w:tc>
      </w:tr>
      <w:tr w:rsidR="00C65232" w:rsidRPr="003C792B" w:rsidTr="00991107">
        <w:trPr>
          <w:trHeight w:val="1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2. Модернізація. навчальної та матеріально-технічної бази шкіл естетичного виховання дітей</w:t>
            </w: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1011100</w:t>
            </w: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1944,7</w:t>
            </w: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1944,7</w:t>
            </w: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Придбано рояль для ДМШ № 3;</w:t>
            </w: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зроблено поточний ремонт коридору ДМШ № 4.</w:t>
            </w:r>
          </w:p>
        </w:tc>
      </w:tr>
      <w:tr w:rsidR="00C65232" w:rsidRPr="003C792B" w:rsidTr="00991107">
        <w:trPr>
          <w:trHeight w:val="1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Модернізація матеріально-технічної бази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та розвиток клубних закладів,</w:t>
            </w:r>
          </w:p>
          <w:p w:rsidR="00C6523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 101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4060</w:t>
            </w:r>
          </w:p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170,0</w:t>
            </w: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170,0</w:t>
            </w: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Придбано тенісний і письмовий столи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клубу «Супутник» та підвісний екран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Будинку культури</w:t>
            </w:r>
          </w:p>
        </w:tc>
      </w:tr>
      <w:tr w:rsidR="00C65232" w:rsidRPr="003C792B" w:rsidTr="0099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C65232" w:rsidRPr="003C792B" w:rsidTr="0099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Підпрограма V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: Збереження культурної спадщини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міста</w:t>
            </w:r>
          </w:p>
        </w:tc>
      </w:tr>
      <w:tr w:rsidR="00C65232" w:rsidRPr="003C792B" w:rsidTr="009911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на виконання Підпрограми VI, у тому числі:</w:t>
            </w:r>
          </w:p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8,5</w:t>
            </w:r>
          </w:p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A01C0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8,5</w:t>
            </w:r>
          </w:p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A01C0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01C0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A01C02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65232" w:rsidRPr="009E36E8" w:rsidTr="00991107">
        <w:trPr>
          <w:trHeight w:val="1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Завдання 1.Паспортизація об’єктів культурної спадщини міста Суми</w:t>
            </w:r>
          </w:p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79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КПКВК 1014082</w:t>
            </w:r>
          </w:p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65232" w:rsidRPr="003C792B" w:rsidRDefault="00C65232" w:rsidP="0099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Виготовлено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32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одиниці  облікових карток та паспортів 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об'єктів  історії та монументального мистецтва. </w:t>
            </w:r>
          </w:p>
          <w:p w:rsidR="00C65232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 саме: пам’ятки історії –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Меморіал воїнам АТО;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пам’ятник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- жертвам голодомору 1932-1933 років, співробітникам органів внутрішніх справ Сумської області; пам’ятні знаки - Жертвам нацистських концтаборів, на честь учасників АТО, «Козацький хрест борцям за волю; 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>пам’ятк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3C79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історії та монументального мистецтва – пам’ятник І.М. Кожедубу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Героям Небесної Сотні.</w:t>
            </w:r>
          </w:p>
          <w:p w:rsidR="00C65232" w:rsidRPr="003C792B" w:rsidRDefault="00C65232" w:rsidP="0099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C65232" w:rsidRPr="003C792B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5232" w:rsidRPr="003C792B" w:rsidRDefault="00C65232" w:rsidP="00C6523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uk-UA" w:eastAsia="ru-RU"/>
        </w:rPr>
      </w:pPr>
    </w:p>
    <w:p w:rsidR="00C6523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5232" w:rsidRDefault="00C65232" w:rsidP="00C6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5232" w:rsidRPr="00947C2B" w:rsidRDefault="00C65232" w:rsidP="00C6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культури                                                                                                            Н.О. Цибульська </w:t>
      </w:r>
    </w:p>
    <w:p w:rsidR="00C65232" w:rsidRPr="00C65232" w:rsidRDefault="00C65232">
      <w:pPr>
        <w:rPr>
          <w:lang w:val="uk-UA"/>
        </w:rPr>
      </w:pPr>
    </w:p>
    <w:sectPr w:rsidR="00C65232" w:rsidRPr="00C65232" w:rsidSect="00B63039">
      <w:pgSz w:w="16838" w:h="11906" w:orient="landscape"/>
      <w:pgMar w:top="156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DA4"/>
    <w:multiLevelType w:val="hybridMultilevel"/>
    <w:tmpl w:val="318AF086"/>
    <w:lvl w:ilvl="0" w:tplc="2AEE4A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A74F64"/>
    <w:multiLevelType w:val="hybridMultilevel"/>
    <w:tmpl w:val="0DD4C900"/>
    <w:lvl w:ilvl="0" w:tplc="909403D2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4C6F21"/>
    <w:multiLevelType w:val="multilevel"/>
    <w:tmpl w:val="1E761C0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32"/>
    <w:rsid w:val="009E2B9B"/>
    <w:rsid w:val="009E36E8"/>
    <w:rsid w:val="00B45174"/>
    <w:rsid w:val="00C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EAE9"/>
  <w15:chartTrackingRefBased/>
  <w15:docId w15:val="{5E87EA92-9EC8-40E3-8D7A-DF5EAB15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3</cp:revision>
  <cp:lastPrinted>2021-03-19T07:22:00Z</cp:lastPrinted>
  <dcterms:created xsi:type="dcterms:W3CDTF">2021-03-19T07:18:00Z</dcterms:created>
  <dcterms:modified xsi:type="dcterms:W3CDTF">2021-03-25T08:34:00Z</dcterms:modified>
</cp:coreProperties>
</file>