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45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5386"/>
        <w:gridCol w:w="4253"/>
        <w:gridCol w:w="4253"/>
      </w:tblGrid>
      <w:tr w:rsidR="006347F7" w:rsidRPr="00F36C8D" w:rsidTr="004D7C9D">
        <w:trPr>
          <w:jc w:val="center"/>
        </w:trPr>
        <w:tc>
          <w:tcPr>
            <w:tcW w:w="4253" w:type="dxa"/>
          </w:tcPr>
          <w:p w:rsidR="006347F7" w:rsidRPr="00F36C8D" w:rsidRDefault="006347F7" w:rsidP="004D7C9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6347F7" w:rsidRPr="00F36C8D" w:rsidRDefault="006347F7" w:rsidP="004D7C9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391" w:firstLine="3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C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A3D2A93" wp14:editId="47973A2B">
                  <wp:extent cx="433705" cy="611505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7F7" w:rsidRPr="00F36C8D" w:rsidRDefault="006347F7" w:rsidP="004D7C9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firstLine="38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D22DED" w:rsidRPr="00D22DED" w:rsidRDefault="00BD57AE" w:rsidP="00844BF3">
            <w:pPr>
              <w:tabs>
                <w:tab w:val="left" w:pos="1005"/>
              </w:tabs>
              <w:spacing w:after="0"/>
              <w:ind w:left="-108" w:righ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="00D22DED" w:rsidRPr="00D22D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Проект</w:t>
            </w:r>
          </w:p>
          <w:p w:rsidR="00D22DED" w:rsidRPr="00D22DED" w:rsidRDefault="00BD57AE" w:rsidP="00D22DED">
            <w:pPr>
              <w:tabs>
                <w:tab w:val="left" w:pos="1005"/>
              </w:tabs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</w:t>
            </w:r>
            <w:r w:rsidR="00D22DED" w:rsidRPr="00D22DE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оприлюднено</w:t>
            </w:r>
          </w:p>
          <w:p w:rsidR="006347F7" w:rsidRPr="00D22DED" w:rsidRDefault="00D22DED" w:rsidP="00D22DE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BD5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22DED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_________2021 р</w:t>
            </w:r>
          </w:p>
        </w:tc>
        <w:tc>
          <w:tcPr>
            <w:tcW w:w="4253" w:type="dxa"/>
          </w:tcPr>
          <w:p w:rsidR="006347F7" w:rsidRPr="00F36C8D" w:rsidRDefault="006347F7" w:rsidP="004D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347F7" w:rsidRPr="00F36C8D" w:rsidRDefault="006347F7" w:rsidP="00634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6347F7" w:rsidRPr="00F36C8D" w:rsidRDefault="006347F7" w:rsidP="00634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6347F7" w:rsidRPr="00F36C8D" w:rsidRDefault="006347F7" w:rsidP="006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РІШЕННЯ</w:t>
      </w:r>
    </w:p>
    <w:p w:rsidR="006347F7" w:rsidRPr="00F36C8D" w:rsidRDefault="006347F7" w:rsidP="00634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6347F7" w:rsidRPr="00B22F89" w:rsidTr="00D14CB4">
        <w:trPr>
          <w:trHeight w:val="415"/>
        </w:trPr>
        <w:tc>
          <w:tcPr>
            <w:tcW w:w="4962" w:type="dxa"/>
          </w:tcPr>
          <w:p w:rsidR="006347F7" w:rsidRDefault="006347F7" w:rsidP="00D14C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D14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B22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15.12.2021</w:t>
            </w:r>
            <w:r w:rsidR="00D14C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 w:rsidR="00B22F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745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61B65" w:rsidRPr="00F36C8D" w:rsidRDefault="00061B65" w:rsidP="00D14C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47F7" w:rsidRPr="00F36C8D" w:rsidTr="00D14CB4">
        <w:trPr>
          <w:trHeight w:val="1330"/>
        </w:trPr>
        <w:tc>
          <w:tcPr>
            <w:tcW w:w="4962" w:type="dxa"/>
          </w:tcPr>
          <w:p w:rsidR="006347F7" w:rsidRPr="00F36C8D" w:rsidRDefault="006347F7" w:rsidP="00D14CB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внесення змін до рішення виконавчого </w:t>
            </w:r>
            <w:r w:rsidRPr="00D1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комітету Сумської міської ради від </w:t>
            </w:r>
            <w:r w:rsidR="00D14CB4" w:rsidRPr="00D1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29.01.2021 № 7 «</w:t>
            </w:r>
            <w:r w:rsidRPr="00D1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затвердження Положення про умови та порядок надання цільової грошової компенсації для набуття</w:t>
            </w:r>
            <w:r w:rsidRPr="00F36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/заміни особами з інвалідністю, які пересуваються на кріслах колісних, житла, до якого може бути чи вже забезпечений безперешкодний доступ</w:t>
            </w:r>
            <w:r w:rsidR="00D1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  <w:bookmarkEnd w:id="0"/>
          </w:p>
        </w:tc>
      </w:tr>
    </w:tbl>
    <w:p w:rsidR="006347F7" w:rsidRPr="00F36C8D" w:rsidRDefault="006347F7" w:rsidP="00EE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347F7" w:rsidRPr="00F36C8D" w:rsidRDefault="006347F7" w:rsidP="00EE3F5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36C8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соціальної підтримки осіб з інвалідністю, які пересуваються на кріслах колісних, на виконання цільової програми соціальної підтримки осіб з інвалідністю, які пересуваються на кріслах колісних, на 2021-2023 роки, затвердженої рішенням Сумської міської ради від 21 жовтня 2020 року № 7557-МР</w:t>
      </w:r>
      <w:r w:rsidRPr="00F36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F36C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підпунктом «а» пункту 1 статті 34 та статтею 52 Закону України «Про місцеве самоврядування в Україні», 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347F7" w:rsidRPr="00F36C8D" w:rsidRDefault="006347F7" w:rsidP="0063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347F7" w:rsidRPr="00F36C8D" w:rsidRDefault="006347F7" w:rsidP="006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6347F7" w:rsidRPr="00F36C8D" w:rsidRDefault="006347F7" w:rsidP="0063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E3F59" w:rsidRDefault="00996D18" w:rsidP="00EE3F59">
      <w:pPr>
        <w:shd w:val="clear" w:color="auto" w:fill="FFFFFF"/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 w:rsidRPr="00996D1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E3F59" w:rsidRPr="00EE3F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r w:rsidR="00EE3F59" w:rsidRPr="00EE3F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зміни </w:t>
      </w:r>
      <w:r w:rsidR="00EE3F59" w:rsidRPr="00EE3F5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до рішення </w:t>
      </w:r>
      <w:r w:rsidR="00EE3F59" w:rsidRPr="00EE3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Сумської міської ради від 29.01.2021 № 7 «Про затвердження 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</w:t>
      </w:r>
      <w:r w:rsidR="00EE3F59" w:rsidRPr="00B54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EE3F59" w:rsidRPr="00B54F60">
        <w:rPr>
          <w:rFonts w:ascii="Times New Roman" w:hAnsi="Times New Roman" w:cs="Times New Roman"/>
          <w:bCs/>
          <w:sz w:val="28"/>
          <w:szCs w:val="28"/>
          <w:lang w:val="uk-UA" w:eastAsia="uk-UA"/>
        </w:rPr>
        <w:t>,</w:t>
      </w:r>
      <w:r w:rsidR="00EE3F59" w:rsidRPr="00EE3F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F150C">
        <w:rPr>
          <w:rStyle w:val="rvts23"/>
          <w:rFonts w:ascii="Times New Roman" w:hAnsi="Times New Roman" w:cs="Times New Roman"/>
          <w:sz w:val="28"/>
          <w:szCs w:val="28"/>
          <w:lang w:val="uk-UA"/>
        </w:rPr>
        <w:t>викла</w:t>
      </w:r>
      <w:r w:rsidR="00061B65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вши </w:t>
      </w:r>
      <w:r w:rsidR="0037343E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розділ 4 </w:t>
      </w:r>
      <w:r w:rsidR="00BF150C">
        <w:rPr>
          <w:rStyle w:val="rvts23"/>
          <w:rFonts w:ascii="Times New Roman" w:hAnsi="Times New Roman" w:cs="Times New Roman"/>
          <w:sz w:val="28"/>
          <w:szCs w:val="28"/>
          <w:lang w:val="uk-UA"/>
        </w:rPr>
        <w:t>додатк</w:t>
      </w:r>
      <w:r w:rsidR="00061B65">
        <w:rPr>
          <w:rStyle w:val="rvts23"/>
          <w:rFonts w:ascii="Times New Roman" w:hAnsi="Times New Roman" w:cs="Times New Roman"/>
          <w:sz w:val="28"/>
          <w:szCs w:val="28"/>
          <w:lang w:val="uk-UA"/>
        </w:rPr>
        <w:t>а</w:t>
      </w:r>
      <w:r w:rsidR="00BF150C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до рішення в новій редакції</w:t>
      </w:r>
      <w:r w:rsidR="0095235F">
        <w:rPr>
          <w:rStyle w:val="rvts23"/>
          <w:rFonts w:ascii="Times New Roman" w:hAnsi="Times New Roman" w:cs="Times New Roman"/>
          <w:sz w:val="28"/>
          <w:szCs w:val="28"/>
          <w:lang w:val="uk-UA"/>
        </w:rPr>
        <w:t>:</w:t>
      </w:r>
      <w:r w:rsidR="00BF150C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35F" w:rsidRPr="00F36C8D" w:rsidRDefault="0095235F" w:rsidP="0095235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F36C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Виплата грошової компенсації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прийняття Сумською міською радою рішення про надання грошової компенсації, воно спрямовується до департаменту, який є головним розпорядником бюджетних коштів по виплаті грошової компенсації.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4.2</w:t>
      </w:r>
      <w:r w:rsidRPr="00996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 видатків для надання грошової компенсації здійснюється за рахунок та в межах бюджетних призначень, передбачених у бюджеті Сумської міської територіальної громади на відповідний рік згідно з Цільовою програмою. 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4.3</w:t>
      </w:r>
      <w:r w:rsidRPr="00996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 після доведення йому бюджетних асигнувань для виплати грошової компенсації відповідно до рішення Сумської міської ради, в якому визначено розмір грошової компенсації та коло осіб з інвалідністю, яким надається грошова компенсація, інформує за місцем фактичного проживання зазначених у цьому рішенні осіб про необхідність відкриття ними у відділе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акціонерного товариства «Державний ощадний банк України» (далі – банк) поточного рахунку (надалі – рахунок).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4.4</w:t>
      </w:r>
      <w:r w:rsidRPr="00996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відкриття рахунку особа з інвалідністю або її уповноважений представник надає до департаменту копію договору із банком про відкриття рахунку на ім’я визначеної в рішенні Сумської міської ради особи з інвалідністю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потреби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довіреність уповноваженої особи.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4.5</w:t>
      </w:r>
      <w:r w:rsidRPr="00996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умов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 попереднього отримання від особи з інвалідністю письмового зобов’язання, встановленої департаментом форми, про використання коштів грошової компенсації згідно з умовами та порядком, визначеним цим Положенням і виключно за цільовим призначенням </w:t>
      </w:r>
      <w:r w:rsidRPr="00EC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умовах попереднього узгодження особою із інвалідністю наступного дотримання вимог пунктів</w:t>
      </w:r>
      <w:r w:rsidRPr="00EC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4.8</w:t>
      </w:r>
      <w:r w:rsidRPr="00EC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Положення,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отримавши відповідне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фінансування, перераховує визначений рішенням Сумської міської ради розмір грошової компенсації на рахунок особи з інвалідністю, про що протягом трьох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днів з 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перерахування коштів повідомляє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 та, на умовах отримання попередніх узгоджених зобов’язань від особи з інвалідністю, інформує банк про умови використання коштів особою з інвалідністю.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року з дня зарахування коштів на рахунок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банку особа з інвалідністю використовує надану їй грошову компенсацію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підбору необхідного житла, визначеного цим Положенням, у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прийнятих в експлуатацію житлових будинках на первинному або на вторинному ринку, що розташовані на території Сумської міської територіальної громади.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690D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</w:t>
      </w:r>
      <w:r w:rsidRPr="006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можливості використання коштів грошової компенсації, що перераховані на рахунок особ</w:t>
      </w:r>
      <w:r w:rsidR="0065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інвалідністю</w:t>
      </w:r>
      <w:r w:rsidR="0065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останній</w:t>
      </w:r>
      <w:r w:rsidRPr="00690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підшукує житло у прийнятих в експлуатацію житлових будинках на первинному або на вторинному ринку, що розташовані на території Сумської міської територіальної громади, напередодні набуття житла у власність звертається через департамент до комітету доступності, який обстежує житло на предмет можливості/не можливості забезпечення до нього безперешкодного доступу та відповідність жилої площі приналежній особі з інвалідністю нормам, визначеним статтею 47 Житлового кодексу Української РСР.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набуття/заміни житла, до якого може бути забезпечено безперешкодний доступ,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особа з інвалідністю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подає до департаменту наступні документи: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один примірник договору продажу власного або стороннього житла (у разі необхідності);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один примірник договору купівлі або набуття у інший спосіб (зокрема міни) житла (далі – договір) до якого може бути забезпечений безперешкодний доступ та в якому зазначено, що житло або його частина набувається у власність особи з інвалідністю;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Державного реєстру речових прав на нерухоме майно про зареєстровані права на набуте житло.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4.8</w:t>
      </w:r>
      <w:r w:rsidRPr="00996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договорі обов’язково зазначаються наступні умови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предметом договору є придбання у власність особи з інвалідністю житла або його частини;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строк виконання зобов’язань по договору не перевищує одного місяця з дня його укладення;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 разі коли предметом договору є індивідуальний житловий будинок (його частина), кошти можуть також спрямовуватися на придбання земельної ділянки або її частини, на якій розміщується будинок, про що зазначається у договорі;</w:t>
      </w:r>
    </w:p>
    <w:p w:rsidR="0095235F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сторонами за договором не є близькі особи (подружжя, діти, батьки, рідні брати і сестри, дід, баба, онуки, усиновлювачі, усиновлені, а також інші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які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проживають, пов’язані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235F" w:rsidRPr="00F36C8D" w:rsidRDefault="0095235F" w:rsidP="0095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взаємні права та обов’язки між собою);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зобов’язання щодо неможливості відчуження придбаного житла протягом п’яти років з моменту укладення договору;</w:t>
      </w:r>
    </w:p>
    <w:p w:rsidR="0095235F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176"/>
      <w:bookmarkEnd w:id="1"/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відповідність наданих особою з інвалідністю документів умовам визначеним одним із абзаців пункту 1.2 цього Положення, крім обставин, що встановлені або щодо яких вже прийняті рішення уповноваженими згідно з цим Положенням суб’єктами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235F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разі, якщо умови, визначені даним пунктом, не передбачені або помилково врегульовані у наданому особою з інвалідністю договорі, за попереднього інформування департаментом про існуючі недоліки, особа з інвалідністю вживає протягом 5 робочих днів з дня отримання повідомлення заходів, направлених на укладення додаткової угоди до договору із врегулюванням необхідних недоліків.</w:t>
      </w:r>
    </w:p>
    <w:p w:rsidR="0095235F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 усунення особою з інвалідністю у встановлені строки вказаних департаментом порушень вимог цього Положення, департамент вирішує з особою з інвалідністю питання добровільного повернення нею коштів на рахунки департаменту, а у разі відмови особи з інвалідністю від таких добровільних дій вживає заходів по стягненню цих коштів з особи з інвалідністю у судовому порядку.</w:t>
      </w:r>
    </w:p>
    <w:p w:rsidR="0095235F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вправі вирішувати питання повернення коштів із рахунків особи із інвалідністю шляхом направлення відповідного листа до банку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підтвердженням права відповідної вимоги шляхом надання підтвердження у вигляді попередньо наданого письмового зобов’язання особи із інвалідністю. У такому разі банк, повертає кошти на рахунки департаменту протягом 3 днів.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якщо надані особою з інвалідністю документи засвідчують наявність обставин зазначених в абзацах 2, 3 пункту 1.5 цього Положення,</w:t>
      </w:r>
      <w:r w:rsidRPr="00F36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порядку вимог, що обумовлені у абзацах 9-10 цього пункту Положення, вживаються заходи по поверненню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наявної різниці між вартістю відчуженого та набутого житла, або у розмірі різниці між 350 тис. та вартістю придбаного житла в порядку пункту 1.2 цього Положення,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надані особі з інвалідністю кошти мають бути повернуті нею у повному обсязі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різниця між вартістю набутого особою з інвалідністю житла і вартістю проданого житла особою з інв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алідністю має від’ємне значення.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4.9.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особа з інвалідністю протягом року з дня зарахування коштів на його рахунок у банку не уклала договір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узгодила із департаментом можливість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на придбання житла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повертаються в порядку вимог, визначених у абзаці 9-10 пункту 4.8 цього Положення на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рахунок департаменту, які у подальшому повертаються департаментом до бюджету Сумської міської територіальної громади.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у особи з інвалідністю з дня зарахування коштів на її рахунок у банку і до моменту визначення у наступному бюджетному періоді нового списку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 мають право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грошової компенсації виникли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обставини, які зазначені у пункті 3.2 цього Положення,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сумарна кількість повернутих департаменту коштів є достатньою для забезпечення фінансування у розмірі, що визначений у абзаці першому пункту 1.5 цього Положення, інформує про можливість реалізації іншою особою з інвалідністю, яка значиться у резерві права на отримання грошової компенсації.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сума повернутих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абзацам другим цього пункту Положення є меншою за ту, що визначена у абзаці першому пункту 1.5 цього Положення або обставини, що зазначені у пункті 3.2 цього Положення виникли після прийняття рішення Комісією про формування нового списку у новому бюджетному періоді, департамент повертає отримані залишки коштів до бюджету Сумської міської територіальної громади.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</w:t>
      </w:r>
      <w:r w:rsidRPr="0006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Забороняється використання грошової компенсації для оплати посередницьких послуг.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</w:t>
      </w:r>
      <w:r w:rsidRPr="0006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питання, що не врегульовані даним Положенням і стосуються спірних питань, пов’язаних з виплатою грошової компенсації, вирішуються відповідно до чинного законодавства.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</w:t>
      </w:r>
      <w:r w:rsidRPr="00061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випадку укладення особою з інвалідністю правочину пов’язаного з набуттям у власність житла, який в подальшому буде визнаний судом недійсним або остання відмовиться від правочину або правочин припинено (розірвано) з інших підстав, наслідком чого виникає зобов’язання сторони (продавця) правочину повернути кошти, сума коштів, що була виплачена у вигляді грошової компенсації повертається особою з інвалідністю до бюджету 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Сумської міської територіальної громади у добровільному порядку протягом одного місяця з моменту виникнення одного з наведених юридичних фактів або Сумська міська рада стягує ці кошти в судовому порядку. </w:t>
      </w:r>
    </w:p>
    <w:p w:rsidR="0095235F" w:rsidRPr="00F36C8D" w:rsidRDefault="0095235F" w:rsidP="0095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Обов’язок інформування про наявність обставин зазначених в абзаці 1 даного пункту Положення покладається на особу з інвалідністю.</w:t>
      </w:r>
    </w:p>
    <w:p w:rsidR="0095235F" w:rsidRDefault="0095235F" w:rsidP="009523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Зобов’язання, що є результатом виникнення обставин, зазначених в абзаці 1 даного пункту Положення не входять до кола спадкової маси і не підлягають стягненню зі спадкоємця.</w:t>
      </w:r>
    </w:p>
    <w:p w:rsidR="0095235F" w:rsidRPr="00F36C8D" w:rsidRDefault="0095235F" w:rsidP="00996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</w:t>
      </w:r>
      <w:r w:rsidRPr="00061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F36C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F3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яка отримала грошову компенсацію, самостійно несе цивільно-правову відповідальність та приймає на себе всі ризики, пов’язані з вибором продавця житла та з якістю житлового приміщення.</w:t>
      </w:r>
      <w:r w:rsidR="00AB4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F150C" w:rsidRDefault="00BF150C" w:rsidP="00996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6D18" w:rsidRDefault="00996D18" w:rsidP="00996D18">
      <w:pPr>
        <w:pStyle w:val="ac"/>
        <w:tabs>
          <w:tab w:val="left" w:pos="993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Рішення набирає чинності з моменту оприлюднення на офіційному вебсайті Сумської міської ради.</w:t>
      </w:r>
    </w:p>
    <w:p w:rsidR="00AD5D39" w:rsidRDefault="00AD5D39" w:rsidP="006D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0729" w:rsidRDefault="006A0729" w:rsidP="006D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5D39" w:rsidRDefault="00AD5D39" w:rsidP="00EE3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50C" w:rsidRDefault="00BF150C" w:rsidP="00EE3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43E" w:rsidRDefault="0037343E" w:rsidP="003734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823E8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      О.М. Лисенко</w:t>
      </w:r>
    </w:p>
    <w:p w:rsidR="0037343E" w:rsidRPr="002823E8" w:rsidRDefault="0037343E" w:rsidP="00373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7343E" w:rsidRPr="002823E8" w:rsidRDefault="0037343E" w:rsidP="0037343E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823E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Масік 787-100</w:t>
      </w:r>
    </w:p>
    <w:p w:rsidR="0037343E" w:rsidRPr="002823E8" w:rsidRDefault="0037343E" w:rsidP="003734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823E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Розіслати: </w:t>
      </w:r>
      <w:r w:rsidR="00D13D7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Масік Т.О., Мотречко В.В.</w:t>
      </w:r>
    </w:p>
    <w:tbl>
      <w:tblPr>
        <w:tblStyle w:val="a7"/>
        <w:tblW w:w="4253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154BF" w:rsidRPr="00F36C8D" w:rsidTr="007A45B7">
        <w:tc>
          <w:tcPr>
            <w:tcW w:w="4253" w:type="dxa"/>
          </w:tcPr>
          <w:p w:rsidR="006154BF" w:rsidRPr="00F36C8D" w:rsidRDefault="006154BF" w:rsidP="007A4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154BF" w:rsidRPr="00F36C8D" w:rsidRDefault="006154BF" w:rsidP="0061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05CB" w:rsidRDefault="009905CB" w:rsidP="0061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905CB" w:rsidSect="00844BF3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CA" w:rsidRDefault="001924CA">
      <w:pPr>
        <w:spacing w:after="0" w:line="240" w:lineRule="auto"/>
      </w:pPr>
      <w:r>
        <w:separator/>
      </w:r>
    </w:p>
  </w:endnote>
  <w:endnote w:type="continuationSeparator" w:id="0">
    <w:p w:rsidR="001924CA" w:rsidRDefault="0019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CA" w:rsidRDefault="001924CA">
      <w:pPr>
        <w:spacing w:after="0" w:line="240" w:lineRule="auto"/>
      </w:pPr>
      <w:r>
        <w:separator/>
      </w:r>
    </w:p>
  </w:footnote>
  <w:footnote w:type="continuationSeparator" w:id="0">
    <w:p w:rsidR="001924CA" w:rsidRDefault="0019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CA" w:rsidRDefault="00A0442B" w:rsidP="00DA3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EC67CA" w:rsidRDefault="00B22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A"/>
    <w:rsid w:val="00021CE5"/>
    <w:rsid w:val="000255FC"/>
    <w:rsid w:val="00025C4A"/>
    <w:rsid w:val="00037D07"/>
    <w:rsid w:val="00061B65"/>
    <w:rsid w:val="000E0352"/>
    <w:rsid w:val="001129F2"/>
    <w:rsid w:val="00123507"/>
    <w:rsid w:val="00124F0F"/>
    <w:rsid w:val="00153871"/>
    <w:rsid w:val="00177F85"/>
    <w:rsid w:val="001924CA"/>
    <w:rsid w:val="00197B16"/>
    <w:rsid w:val="001A1553"/>
    <w:rsid w:val="001A79C7"/>
    <w:rsid w:val="00201E62"/>
    <w:rsid w:val="00260FDE"/>
    <w:rsid w:val="00263F5B"/>
    <w:rsid w:val="0026698D"/>
    <w:rsid w:val="002823E8"/>
    <w:rsid w:val="00297A57"/>
    <w:rsid w:val="002A30DD"/>
    <w:rsid w:val="00305AC0"/>
    <w:rsid w:val="00345504"/>
    <w:rsid w:val="0037343E"/>
    <w:rsid w:val="00380060"/>
    <w:rsid w:val="003C112E"/>
    <w:rsid w:val="00405EE6"/>
    <w:rsid w:val="00473303"/>
    <w:rsid w:val="004E11D5"/>
    <w:rsid w:val="00500EEE"/>
    <w:rsid w:val="00522EAA"/>
    <w:rsid w:val="00544354"/>
    <w:rsid w:val="005D0301"/>
    <w:rsid w:val="005F2A49"/>
    <w:rsid w:val="005F3F16"/>
    <w:rsid w:val="005F57F6"/>
    <w:rsid w:val="00600031"/>
    <w:rsid w:val="006154BF"/>
    <w:rsid w:val="00631C9F"/>
    <w:rsid w:val="006347F7"/>
    <w:rsid w:val="006453B4"/>
    <w:rsid w:val="00650071"/>
    <w:rsid w:val="006513BA"/>
    <w:rsid w:val="006546BF"/>
    <w:rsid w:val="00654937"/>
    <w:rsid w:val="00690DC8"/>
    <w:rsid w:val="006A0729"/>
    <w:rsid w:val="006A572F"/>
    <w:rsid w:val="006A5EE0"/>
    <w:rsid w:val="006C4A71"/>
    <w:rsid w:val="006D52A6"/>
    <w:rsid w:val="007458D7"/>
    <w:rsid w:val="007843F4"/>
    <w:rsid w:val="007C45BD"/>
    <w:rsid w:val="007C68FD"/>
    <w:rsid w:val="007F7E76"/>
    <w:rsid w:val="0082777E"/>
    <w:rsid w:val="00830198"/>
    <w:rsid w:val="00844BF3"/>
    <w:rsid w:val="00844F77"/>
    <w:rsid w:val="00861A71"/>
    <w:rsid w:val="00881CD7"/>
    <w:rsid w:val="008A4551"/>
    <w:rsid w:val="008A7B83"/>
    <w:rsid w:val="008B670C"/>
    <w:rsid w:val="008E3655"/>
    <w:rsid w:val="00902C31"/>
    <w:rsid w:val="0094317B"/>
    <w:rsid w:val="0095235F"/>
    <w:rsid w:val="00967AA3"/>
    <w:rsid w:val="00973FEE"/>
    <w:rsid w:val="009905CB"/>
    <w:rsid w:val="00996D18"/>
    <w:rsid w:val="009C0296"/>
    <w:rsid w:val="00A0442B"/>
    <w:rsid w:val="00A0443E"/>
    <w:rsid w:val="00A46F16"/>
    <w:rsid w:val="00A552BD"/>
    <w:rsid w:val="00AB4FDB"/>
    <w:rsid w:val="00AD5D39"/>
    <w:rsid w:val="00B03797"/>
    <w:rsid w:val="00B22F89"/>
    <w:rsid w:val="00B25DB1"/>
    <w:rsid w:val="00B51849"/>
    <w:rsid w:val="00B54F60"/>
    <w:rsid w:val="00B81D28"/>
    <w:rsid w:val="00B96142"/>
    <w:rsid w:val="00BC533B"/>
    <w:rsid w:val="00BD57AE"/>
    <w:rsid w:val="00BF150C"/>
    <w:rsid w:val="00BF603B"/>
    <w:rsid w:val="00C16D21"/>
    <w:rsid w:val="00C601D9"/>
    <w:rsid w:val="00C83090"/>
    <w:rsid w:val="00C9700B"/>
    <w:rsid w:val="00CD45CD"/>
    <w:rsid w:val="00CD6873"/>
    <w:rsid w:val="00CE24E8"/>
    <w:rsid w:val="00D13D75"/>
    <w:rsid w:val="00D14384"/>
    <w:rsid w:val="00D14CB4"/>
    <w:rsid w:val="00D22DED"/>
    <w:rsid w:val="00D4391E"/>
    <w:rsid w:val="00D56E53"/>
    <w:rsid w:val="00DA1264"/>
    <w:rsid w:val="00DB15B9"/>
    <w:rsid w:val="00E041B8"/>
    <w:rsid w:val="00E16E3E"/>
    <w:rsid w:val="00E43673"/>
    <w:rsid w:val="00EC664E"/>
    <w:rsid w:val="00EE3F59"/>
    <w:rsid w:val="00F47423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868A"/>
  <w15:chartTrackingRefBased/>
  <w15:docId w15:val="{23F6A9F9-0F3C-4B28-A535-2927CD6A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7F7"/>
  </w:style>
  <w:style w:type="character" w:styleId="a5">
    <w:name w:val="page number"/>
    <w:basedOn w:val="a0"/>
    <w:rsid w:val="006347F7"/>
  </w:style>
  <w:style w:type="character" w:customStyle="1" w:styleId="apple-converted-space">
    <w:name w:val="apple-converted-space"/>
    <w:rsid w:val="00EE3F59"/>
  </w:style>
  <w:style w:type="character" w:customStyle="1" w:styleId="rvts23">
    <w:name w:val="rvts23"/>
    <w:rsid w:val="00EE3F59"/>
  </w:style>
  <w:style w:type="paragraph" w:styleId="a6">
    <w:name w:val="List Paragraph"/>
    <w:basedOn w:val="a"/>
    <w:uiPriority w:val="34"/>
    <w:qFormat/>
    <w:rsid w:val="00BF150C"/>
    <w:pPr>
      <w:ind w:left="720"/>
      <w:contextualSpacing/>
    </w:pPr>
  </w:style>
  <w:style w:type="table" w:styleId="a7">
    <w:name w:val="Table Grid"/>
    <w:basedOn w:val="a1"/>
    <w:uiPriority w:val="39"/>
    <w:rsid w:val="0061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0DD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D39"/>
  </w:style>
  <w:style w:type="paragraph" w:styleId="ac">
    <w:name w:val="No Spacing"/>
    <w:uiPriority w:val="1"/>
    <w:qFormat/>
    <w:rsid w:val="00996D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801A-C528-4827-9257-0F452E0C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Котляр</dc:creator>
  <cp:keywords/>
  <dc:description/>
  <cp:lastModifiedBy>Шуліпа Ольга Василівна</cp:lastModifiedBy>
  <cp:revision>3</cp:revision>
  <cp:lastPrinted>2021-12-13T11:38:00Z</cp:lastPrinted>
  <dcterms:created xsi:type="dcterms:W3CDTF">2021-12-16T12:08:00Z</dcterms:created>
  <dcterms:modified xsi:type="dcterms:W3CDTF">2021-12-21T11:29:00Z</dcterms:modified>
</cp:coreProperties>
</file>