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6" w:type="pct"/>
        <w:tblLook w:val="04A0" w:firstRow="1" w:lastRow="0" w:firstColumn="1" w:lastColumn="0" w:noHBand="0" w:noVBand="1"/>
      </w:tblPr>
      <w:tblGrid>
        <w:gridCol w:w="4271"/>
        <w:gridCol w:w="1120"/>
        <w:gridCol w:w="4104"/>
      </w:tblGrid>
      <w:tr w:rsidR="000419A0" w:rsidRPr="00A218E0" w:rsidTr="00CA1FD5">
        <w:trPr>
          <w:trHeight w:val="992"/>
        </w:trPr>
        <w:tc>
          <w:tcPr>
            <w:tcW w:w="2249" w:type="pct"/>
            <w:shd w:val="clear" w:color="auto" w:fill="auto"/>
          </w:tcPr>
          <w:p w:rsidR="000419A0" w:rsidRPr="00A218E0" w:rsidRDefault="000419A0" w:rsidP="00811A73">
            <w:pPr>
              <w:tabs>
                <w:tab w:val="left" w:pos="765"/>
              </w:tabs>
              <w:jc w:val="both"/>
              <w:rPr>
                <w:rFonts w:eastAsia="Calibri" w:cs="Mangal"/>
                <w:sz w:val="28"/>
                <w:szCs w:val="28"/>
                <w:lang w:eastAsia="en-US" w:bidi="ne-IN"/>
              </w:rPr>
            </w:pPr>
            <w:r w:rsidRPr="00A218E0">
              <w:rPr>
                <w:rFonts w:eastAsia="Calibri" w:cs="Mangal"/>
                <w:sz w:val="28"/>
                <w:szCs w:val="28"/>
                <w:lang w:eastAsia="en-US" w:bidi="ne-IN"/>
              </w:rPr>
              <w:t xml:space="preserve">                                                                                                                                                                                                                                                                                                                                                                                                                                                                                                                                                                                                                                                                                                                                                                                                                                                                                            </w:t>
            </w:r>
          </w:p>
        </w:tc>
        <w:tc>
          <w:tcPr>
            <w:tcW w:w="590" w:type="pct"/>
            <w:shd w:val="clear" w:color="auto" w:fill="auto"/>
          </w:tcPr>
          <w:p w:rsidR="000419A0" w:rsidRPr="00A218E0" w:rsidRDefault="00AF6606" w:rsidP="00811A73">
            <w:pPr>
              <w:jc w:val="both"/>
              <w:rPr>
                <w:rFonts w:eastAsia="Calibri" w:cs="Mangal"/>
                <w:sz w:val="28"/>
                <w:szCs w:val="28"/>
                <w:lang w:eastAsia="en-US" w:bidi="ne-IN"/>
              </w:rPr>
            </w:pPr>
            <w:r>
              <w:rPr>
                <w:rFonts w:eastAsia="Calibri" w:cs="Mangal"/>
                <w:noProof/>
                <w:sz w:val="28"/>
                <w:szCs w:val="28"/>
                <w:lang w:eastAsia="en-US" w:bidi="ne-IN"/>
              </w:rPr>
              <w:drawing>
                <wp:inline distT="0" distB="0" distL="0" distR="0">
                  <wp:extent cx="453224" cy="604297"/>
                  <wp:effectExtent l="0" t="0" r="444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rb.gif"/>
                          <pic:cNvPicPr/>
                        </pic:nvPicPr>
                        <pic:blipFill>
                          <a:blip r:embed="rId8">
                            <a:extLst>
                              <a:ext uri="{28A0092B-C50C-407E-A947-70E740481C1C}">
                                <a14:useLocalDpi xmlns:a14="http://schemas.microsoft.com/office/drawing/2010/main" val="0"/>
                              </a:ext>
                            </a:extLst>
                          </a:blip>
                          <a:stretch>
                            <a:fillRect/>
                          </a:stretch>
                        </pic:blipFill>
                        <pic:spPr>
                          <a:xfrm>
                            <a:off x="0" y="0"/>
                            <a:ext cx="468553" cy="624735"/>
                          </a:xfrm>
                          <a:prstGeom prst="rect">
                            <a:avLst/>
                          </a:prstGeom>
                        </pic:spPr>
                      </pic:pic>
                    </a:graphicData>
                  </a:graphic>
                </wp:inline>
              </w:drawing>
            </w:r>
          </w:p>
        </w:tc>
        <w:tc>
          <w:tcPr>
            <w:tcW w:w="2161" w:type="pct"/>
          </w:tcPr>
          <w:p w:rsidR="00D84E1E" w:rsidRPr="00A218E0" w:rsidRDefault="00D84E1E" w:rsidP="00397439">
            <w:pPr>
              <w:jc w:val="right"/>
              <w:rPr>
                <w:rFonts w:eastAsia="Calibri" w:cs="Mangal"/>
                <w:sz w:val="16"/>
                <w:szCs w:val="16"/>
                <w:lang w:eastAsia="en-US" w:bidi="ne-IN"/>
              </w:rPr>
            </w:pPr>
          </w:p>
        </w:tc>
      </w:tr>
    </w:tbl>
    <w:p w:rsidR="00CA1FD5" w:rsidRPr="00CA1FD5" w:rsidRDefault="00CA1FD5" w:rsidP="000419A0">
      <w:pPr>
        <w:jc w:val="center"/>
        <w:rPr>
          <w:rFonts w:eastAsia="MS Mincho"/>
          <w:sz w:val="12"/>
          <w:szCs w:val="12"/>
          <w:lang w:eastAsia="ru-RU"/>
        </w:rPr>
      </w:pPr>
    </w:p>
    <w:p w:rsidR="000419A0" w:rsidRPr="00A218E0" w:rsidRDefault="000419A0" w:rsidP="000419A0">
      <w:pPr>
        <w:jc w:val="center"/>
        <w:rPr>
          <w:rFonts w:eastAsia="MS Mincho"/>
          <w:sz w:val="36"/>
          <w:szCs w:val="36"/>
          <w:lang w:eastAsia="ru-RU"/>
        </w:rPr>
      </w:pPr>
      <w:r w:rsidRPr="00A218E0">
        <w:rPr>
          <w:rFonts w:eastAsia="MS Mincho"/>
          <w:sz w:val="36"/>
          <w:szCs w:val="36"/>
          <w:lang w:eastAsia="ru-RU"/>
        </w:rPr>
        <w:t>Сумська міська рада</w:t>
      </w:r>
    </w:p>
    <w:p w:rsidR="000419A0" w:rsidRPr="00A218E0" w:rsidRDefault="000419A0" w:rsidP="000419A0">
      <w:pPr>
        <w:jc w:val="center"/>
        <w:rPr>
          <w:rFonts w:eastAsia="MS Mincho"/>
          <w:b/>
          <w:sz w:val="36"/>
          <w:szCs w:val="36"/>
          <w:lang w:eastAsia="ru-RU"/>
        </w:rPr>
      </w:pPr>
      <w:r w:rsidRPr="00A218E0">
        <w:rPr>
          <w:rFonts w:eastAsia="MS Mincho"/>
          <w:sz w:val="36"/>
          <w:szCs w:val="36"/>
          <w:lang w:eastAsia="ru-RU"/>
        </w:rPr>
        <w:t>Виконавчий комітет</w:t>
      </w:r>
    </w:p>
    <w:p w:rsidR="000419A0" w:rsidRPr="00A218E0" w:rsidRDefault="000419A0" w:rsidP="000419A0">
      <w:pPr>
        <w:jc w:val="center"/>
        <w:rPr>
          <w:rFonts w:eastAsia="MS Mincho"/>
          <w:b/>
          <w:sz w:val="36"/>
          <w:szCs w:val="36"/>
          <w:lang w:eastAsia="ru-RU"/>
        </w:rPr>
      </w:pPr>
      <w:r w:rsidRPr="00A218E0">
        <w:rPr>
          <w:rFonts w:eastAsia="MS Mincho"/>
          <w:b/>
          <w:sz w:val="36"/>
          <w:szCs w:val="36"/>
          <w:lang w:eastAsia="ru-RU"/>
        </w:rPr>
        <w:t>РІШЕННЯ</w:t>
      </w:r>
    </w:p>
    <w:p w:rsidR="000419A0" w:rsidRPr="00AD0607" w:rsidRDefault="000419A0" w:rsidP="000419A0">
      <w:pPr>
        <w:jc w:val="center"/>
        <w:rPr>
          <w:sz w:val="28"/>
          <w:szCs w:val="28"/>
        </w:rPr>
      </w:pPr>
    </w:p>
    <w:tbl>
      <w:tblPr>
        <w:tblW w:w="0" w:type="auto"/>
        <w:tblInd w:w="-63" w:type="dxa"/>
        <w:tblLook w:val="01E0" w:firstRow="1" w:lastRow="1" w:firstColumn="1" w:lastColumn="1" w:noHBand="0" w:noVBand="0"/>
      </w:tblPr>
      <w:tblGrid>
        <w:gridCol w:w="4962"/>
      </w:tblGrid>
      <w:tr w:rsidR="000419A0" w:rsidRPr="00F90F90" w:rsidTr="00811A73">
        <w:tc>
          <w:tcPr>
            <w:tcW w:w="4962" w:type="dxa"/>
          </w:tcPr>
          <w:p w:rsidR="000419A0" w:rsidRPr="005B7EC8" w:rsidRDefault="000419A0" w:rsidP="00811A73">
            <w:pPr>
              <w:rPr>
                <w:sz w:val="28"/>
                <w:szCs w:val="28"/>
              </w:rPr>
            </w:pPr>
            <w:r>
              <w:rPr>
                <w:sz w:val="28"/>
                <w:szCs w:val="28"/>
              </w:rPr>
              <w:t xml:space="preserve">від </w:t>
            </w:r>
            <w:r w:rsidR="003B7A96">
              <w:rPr>
                <w:sz w:val="28"/>
                <w:szCs w:val="28"/>
              </w:rPr>
              <w:t>08.10.2024</w:t>
            </w:r>
            <w:r>
              <w:rPr>
                <w:sz w:val="28"/>
                <w:szCs w:val="28"/>
              </w:rPr>
              <w:t xml:space="preserve"> </w:t>
            </w:r>
            <w:r w:rsidRPr="005B7EC8">
              <w:rPr>
                <w:sz w:val="28"/>
                <w:szCs w:val="28"/>
              </w:rPr>
              <w:t xml:space="preserve">№ </w:t>
            </w:r>
            <w:r w:rsidR="003B7A96">
              <w:rPr>
                <w:sz w:val="28"/>
                <w:szCs w:val="28"/>
              </w:rPr>
              <w:t>580</w:t>
            </w:r>
            <w:bookmarkStart w:id="0" w:name="_GoBack"/>
            <w:bookmarkEnd w:id="0"/>
          </w:p>
        </w:tc>
      </w:tr>
      <w:tr w:rsidR="000419A0" w:rsidRPr="00F90F90" w:rsidTr="00811A73">
        <w:tc>
          <w:tcPr>
            <w:tcW w:w="4962" w:type="dxa"/>
          </w:tcPr>
          <w:p w:rsidR="000419A0" w:rsidRPr="00551791" w:rsidRDefault="000419A0" w:rsidP="00811A73">
            <w:pPr>
              <w:rPr>
                <w:sz w:val="28"/>
                <w:szCs w:val="28"/>
              </w:rPr>
            </w:pPr>
            <w:bookmarkStart w:id="1" w:name="_Hlk68010047"/>
          </w:p>
          <w:p w:rsidR="000419A0" w:rsidRPr="00F90F90" w:rsidRDefault="000419A0" w:rsidP="00811A73">
            <w:pPr>
              <w:jc w:val="both"/>
              <w:rPr>
                <w:b/>
                <w:sz w:val="28"/>
                <w:szCs w:val="28"/>
              </w:rPr>
            </w:pPr>
            <w:bookmarkStart w:id="2" w:name="_Hlk109830711"/>
            <w:r w:rsidRPr="00F90F90">
              <w:rPr>
                <w:b/>
                <w:sz w:val="28"/>
                <w:szCs w:val="28"/>
              </w:rPr>
              <w:t xml:space="preserve">Про </w:t>
            </w:r>
            <w:r>
              <w:rPr>
                <w:b/>
                <w:sz w:val="28"/>
                <w:szCs w:val="28"/>
              </w:rPr>
              <w:t xml:space="preserve">внесення змін </w:t>
            </w:r>
            <w:r w:rsidR="00A906E6">
              <w:rPr>
                <w:b/>
                <w:sz w:val="28"/>
                <w:szCs w:val="28"/>
              </w:rPr>
              <w:t xml:space="preserve">до </w:t>
            </w:r>
            <w:r>
              <w:rPr>
                <w:b/>
                <w:sz w:val="28"/>
                <w:szCs w:val="28"/>
              </w:rPr>
              <w:t xml:space="preserve">рішення виконавчого комітету Сумської міської ради від 27.06.2013 № 323 «Про </w:t>
            </w:r>
            <w:r w:rsidRPr="00F90F90">
              <w:rPr>
                <w:b/>
                <w:sz w:val="28"/>
                <w:szCs w:val="28"/>
              </w:rPr>
              <w:t>організацію роботи з питань опіки та піклування над повнолітніми особами</w:t>
            </w:r>
            <w:r>
              <w:rPr>
                <w:b/>
                <w:sz w:val="28"/>
                <w:szCs w:val="28"/>
              </w:rPr>
              <w:t>»</w:t>
            </w:r>
            <w:r w:rsidRPr="00F90F90">
              <w:rPr>
                <w:b/>
                <w:sz w:val="28"/>
                <w:szCs w:val="28"/>
              </w:rPr>
              <w:t xml:space="preserve"> </w:t>
            </w:r>
            <w:r>
              <w:rPr>
                <w:b/>
                <w:sz w:val="28"/>
                <w:szCs w:val="28"/>
              </w:rPr>
              <w:t>(зі змінами)</w:t>
            </w:r>
            <w:bookmarkEnd w:id="2"/>
          </w:p>
        </w:tc>
      </w:tr>
      <w:bookmarkEnd w:id="1"/>
    </w:tbl>
    <w:p w:rsidR="000419A0" w:rsidRPr="005C2C2E" w:rsidRDefault="000419A0" w:rsidP="000419A0">
      <w:pPr>
        <w:jc w:val="center"/>
        <w:rPr>
          <w:sz w:val="28"/>
          <w:szCs w:val="28"/>
        </w:rPr>
      </w:pPr>
    </w:p>
    <w:p w:rsidR="000419A0" w:rsidRDefault="000419A0" w:rsidP="000419A0">
      <w:pPr>
        <w:jc w:val="both"/>
        <w:rPr>
          <w:sz w:val="28"/>
          <w:szCs w:val="28"/>
        </w:rPr>
      </w:pPr>
      <w:r w:rsidRPr="00F90F90">
        <w:rPr>
          <w:b/>
          <w:sz w:val="28"/>
          <w:szCs w:val="28"/>
        </w:rPr>
        <w:tab/>
      </w:r>
      <w:r w:rsidR="00B030EE" w:rsidRPr="00B030EE">
        <w:rPr>
          <w:sz w:val="28"/>
          <w:szCs w:val="28"/>
        </w:rPr>
        <w:t>У</w:t>
      </w:r>
      <w:r w:rsidR="00B030EE" w:rsidRPr="00A906E6">
        <w:rPr>
          <w:sz w:val="28"/>
          <w:szCs w:val="28"/>
        </w:rPr>
        <w:t xml:space="preserve"> </w:t>
      </w:r>
      <w:r w:rsidR="00B030EE" w:rsidRPr="00B030EE">
        <w:rPr>
          <w:sz w:val="28"/>
          <w:szCs w:val="28"/>
        </w:rPr>
        <w:t>зв’</w:t>
      </w:r>
      <w:r w:rsidR="00B030EE">
        <w:rPr>
          <w:sz w:val="28"/>
          <w:szCs w:val="28"/>
        </w:rPr>
        <w:t>язку з кадровими змінами та з</w:t>
      </w:r>
      <w:r w:rsidRPr="00F90F90">
        <w:rPr>
          <w:sz w:val="28"/>
          <w:szCs w:val="28"/>
        </w:rPr>
        <w:t xml:space="preserve"> метою </w:t>
      </w:r>
      <w:r>
        <w:rPr>
          <w:sz w:val="28"/>
          <w:szCs w:val="28"/>
        </w:rPr>
        <w:t xml:space="preserve">забезпечення ефективної </w:t>
      </w:r>
      <w:r w:rsidRPr="00F90F90">
        <w:rPr>
          <w:sz w:val="28"/>
          <w:szCs w:val="28"/>
        </w:rPr>
        <w:t xml:space="preserve">організації </w:t>
      </w:r>
      <w:r>
        <w:rPr>
          <w:sz w:val="28"/>
          <w:szCs w:val="28"/>
        </w:rPr>
        <w:t>на території Сумської міської територіальної громади</w:t>
      </w:r>
      <w:r w:rsidRPr="00F90F90">
        <w:rPr>
          <w:sz w:val="28"/>
          <w:szCs w:val="28"/>
        </w:rPr>
        <w:t xml:space="preserve"> роботи з питань опіки та піклування над повнолітніми особами, які за станом здоров’я не можуть здійснювати свої права та виконувати обов’язки</w:t>
      </w:r>
      <w:r w:rsidR="004978D7">
        <w:rPr>
          <w:sz w:val="28"/>
          <w:szCs w:val="28"/>
        </w:rPr>
        <w:t>,</w:t>
      </w:r>
      <w:r w:rsidRPr="00F90F90">
        <w:rPr>
          <w:sz w:val="28"/>
          <w:szCs w:val="28"/>
        </w:rPr>
        <w:t xml:space="preserve"> </w:t>
      </w:r>
      <w:r w:rsidR="004978D7">
        <w:rPr>
          <w:sz w:val="28"/>
          <w:szCs w:val="28"/>
        </w:rPr>
        <w:t>к</w:t>
      </w:r>
      <w:r>
        <w:rPr>
          <w:sz w:val="28"/>
          <w:szCs w:val="28"/>
        </w:rPr>
        <w:t xml:space="preserve">еруючись </w:t>
      </w:r>
      <w:r w:rsidRPr="00F90F90">
        <w:rPr>
          <w:sz w:val="28"/>
          <w:szCs w:val="28"/>
        </w:rPr>
        <w:t xml:space="preserve">частиною першою статті 52 Закону України «Про місцеве самоврядування в Україні», </w:t>
      </w:r>
      <w:r w:rsidRPr="00F90F90">
        <w:rPr>
          <w:b/>
          <w:sz w:val="28"/>
          <w:szCs w:val="28"/>
        </w:rPr>
        <w:t>виконавчий комітет Сумської міської ради</w:t>
      </w:r>
    </w:p>
    <w:p w:rsidR="000419A0" w:rsidRPr="00AE44E6" w:rsidRDefault="000419A0" w:rsidP="000419A0">
      <w:pPr>
        <w:rPr>
          <w:sz w:val="28"/>
          <w:szCs w:val="28"/>
        </w:rPr>
      </w:pPr>
    </w:p>
    <w:p w:rsidR="000419A0" w:rsidRPr="00F90F90" w:rsidRDefault="000419A0" w:rsidP="000419A0">
      <w:pPr>
        <w:jc w:val="center"/>
        <w:outlineLvl w:val="0"/>
        <w:rPr>
          <w:b/>
          <w:sz w:val="28"/>
          <w:szCs w:val="28"/>
        </w:rPr>
      </w:pPr>
      <w:r w:rsidRPr="00F90F90">
        <w:rPr>
          <w:b/>
          <w:sz w:val="28"/>
          <w:szCs w:val="28"/>
        </w:rPr>
        <w:t>ВИРІШИВ:</w:t>
      </w:r>
    </w:p>
    <w:p w:rsidR="000419A0" w:rsidRPr="00551791" w:rsidRDefault="000419A0" w:rsidP="000419A0">
      <w:pPr>
        <w:jc w:val="both"/>
        <w:rPr>
          <w:sz w:val="28"/>
          <w:szCs w:val="28"/>
        </w:rPr>
      </w:pPr>
    </w:p>
    <w:p w:rsidR="000419A0" w:rsidRDefault="000419A0" w:rsidP="00A906E6">
      <w:pPr>
        <w:tabs>
          <w:tab w:val="left" w:pos="720"/>
        </w:tabs>
        <w:jc w:val="both"/>
        <w:rPr>
          <w:sz w:val="28"/>
        </w:rPr>
      </w:pPr>
      <w:r>
        <w:rPr>
          <w:sz w:val="28"/>
          <w:szCs w:val="28"/>
        </w:rPr>
        <w:tab/>
      </w:r>
      <w:r w:rsidRPr="00A81537">
        <w:rPr>
          <w:b/>
          <w:sz w:val="28"/>
          <w:szCs w:val="28"/>
        </w:rPr>
        <w:t>1.</w:t>
      </w:r>
      <w:r>
        <w:rPr>
          <w:sz w:val="28"/>
          <w:szCs w:val="28"/>
        </w:rPr>
        <w:t xml:space="preserve"> </w:t>
      </w:r>
      <w:proofErr w:type="spellStart"/>
      <w:r>
        <w:rPr>
          <w:sz w:val="28"/>
          <w:szCs w:val="28"/>
        </w:rPr>
        <w:t>Внести</w:t>
      </w:r>
      <w:proofErr w:type="spellEnd"/>
      <w:r>
        <w:rPr>
          <w:sz w:val="28"/>
          <w:szCs w:val="28"/>
        </w:rPr>
        <w:t xml:space="preserve"> зміни до рішення виконавчого комітету Сумської міської ради від 27.06.2013 № 323 </w:t>
      </w:r>
      <w:r w:rsidRPr="002C6CD0">
        <w:rPr>
          <w:sz w:val="28"/>
          <w:szCs w:val="28"/>
        </w:rPr>
        <w:t>«Про організацію роботи з питань опіки та піклування над повнолітніми особами» (зі змінами)</w:t>
      </w:r>
      <w:r>
        <w:rPr>
          <w:sz w:val="28"/>
          <w:szCs w:val="28"/>
        </w:rPr>
        <w:t xml:space="preserve">, виклавши </w:t>
      </w:r>
      <w:r>
        <w:rPr>
          <w:sz w:val="28"/>
        </w:rPr>
        <w:t>додаток 2 до рішення у новій редакції (додається).</w:t>
      </w:r>
    </w:p>
    <w:p w:rsidR="000419A0" w:rsidRPr="00E31B51" w:rsidRDefault="000419A0" w:rsidP="000419A0">
      <w:pPr>
        <w:jc w:val="both"/>
        <w:rPr>
          <w:sz w:val="28"/>
          <w:szCs w:val="28"/>
        </w:rPr>
      </w:pPr>
    </w:p>
    <w:p w:rsidR="000419A0" w:rsidRDefault="000419A0" w:rsidP="000419A0">
      <w:pPr>
        <w:ind w:firstLine="708"/>
        <w:jc w:val="both"/>
        <w:rPr>
          <w:sz w:val="28"/>
          <w:szCs w:val="28"/>
        </w:rPr>
      </w:pPr>
      <w:r w:rsidRPr="00FD580E">
        <w:rPr>
          <w:b/>
          <w:sz w:val="28"/>
          <w:szCs w:val="28"/>
        </w:rPr>
        <w:t>2.</w:t>
      </w:r>
      <w:r w:rsidRPr="00FD580E">
        <w:rPr>
          <w:sz w:val="28"/>
          <w:szCs w:val="28"/>
        </w:rPr>
        <w:t xml:space="preserve"> В</w:t>
      </w:r>
      <w:r w:rsidRPr="00FD580E">
        <w:rPr>
          <w:bCs/>
          <w:sz w:val="28"/>
          <w:szCs w:val="28"/>
        </w:rPr>
        <w:t>изнати таким, що втрат</w:t>
      </w:r>
      <w:r w:rsidR="00397017">
        <w:rPr>
          <w:bCs/>
          <w:sz w:val="28"/>
          <w:szCs w:val="28"/>
        </w:rPr>
        <w:t>ило</w:t>
      </w:r>
      <w:r w:rsidRPr="00FD580E">
        <w:rPr>
          <w:bCs/>
          <w:sz w:val="28"/>
          <w:szCs w:val="28"/>
        </w:rPr>
        <w:t xml:space="preserve"> чинність </w:t>
      </w:r>
      <w:r w:rsidR="00CF797D">
        <w:rPr>
          <w:bCs/>
          <w:sz w:val="28"/>
          <w:szCs w:val="28"/>
        </w:rPr>
        <w:t>рішення</w:t>
      </w:r>
      <w:r w:rsidR="00B030EE">
        <w:rPr>
          <w:bCs/>
          <w:sz w:val="28"/>
          <w:szCs w:val="28"/>
        </w:rPr>
        <w:t xml:space="preserve"> </w:t>
      </w:r>
      <w:r w:rsidRPr="00FD580E">
        <w:rPr>
          <w:bCs/>
          <w:sz w:val="28"/>
          <w:szCs w:val="28"/>
        </w:rPr>
        <w:t xml:space="preserve">виконавчого комітету Сумської міської ради від </w:t>
      </w:r>
      <w:r w:rsidR="00147E75">
        <w:rPr>
          <w:bCs/>
          <w:sz w:val="28"/>
          <w:szCs w:val="28"/>
        </w:rPr>
        <w:t>17</w:t>
      </w:r>
      <w:r w:rsidRPr="00FD580E">
        <w:rPr>
          <w:bCs/>
          <w:sz w:val="28"/>
          <w:szCs w:val="28"/>
        </w:rPr>
        <w:t>.</w:t>
      </w:r>
      <w:r w:rsidR="00147E75">
        <w:rPr>
          <w:bCs/>
          <w:sz w:val="28"/>
          <w:szCs w:val="28"/>
        </w:rPr>
        <w:t>04</w:t>
      </w:r>
      <w:r w:rsidRPr="00FD580E">
        <w:rPr>
          <w:bCs/>
          <w:sz w:val="28"/>
          <w:szCs w:val="28"/>
        </w:rPr>
        <w:t>.</w:t>
      </w:r>
      <w:r w:rsidR="0051500F">
        <w:rPr>
          <w:bCs/>
          <w:sz w:val="28"/>
          <w:szCs w:val="28"/>
        </w:rPr>
        <w:t>202</w:t>
      </w:r>
      <w:r w:rsidR="00147E75">
        <w:rPr>
          <w:bCs/>
          <w:sz w:val="28"/>
          <w:szCs w:val="28"/>
        </w:rPr>
        <w:t>4</w:t>
      </w:r>
      <w:r w:rsidRPr="00FD580E">
        <w:rPr>
          <w:bCs/>
          <w:sz w:val="28"/>
          <w:szCs w:val="28"/>
        </w:rPr>
        <w:t xml:space="preserve"> № </w:t>
      </w:r>
      <w:r w:rsidR="00147E75">
        <w:rPr>
          <w:bCs/>
          <w:sz w:val="28"/>
          <w:szCs w:val="28"/>
        </w:rPr>
        <w:t>203</w:t>
      </w:r>
      <w:r w:rsidRPr="00FD580E">
        <w:rPr>
          <w:bCs/>
          <w:sz w:val="28"/>
          <w:szCs w:val="28"/>
        </w:rPr>
        <w:t xml:space="preserve"> «</w:t>
      </w:r>
      <w:r w:rsidRPr="00FD580E">
        <w:rPr>
          <w:sz w:val="28"/>
          <w:szCs w:val="28"/>
        </w:rPr>
        <w:t>Про внесення змін до рішення виконавчого комітету Сумської міської ради від 27.06.2013 № 323 «Про організацію роботи з питань опіки та піклування над повнолітніми особами» (зі змінами)».</w:t>
      </w:r>
    </w:p>
    <w:p w:rsidR="00AB6713" w:rsidRDefault="00AB6713" w:rsidP="000419A0">
      <w:pPr>
        <w:jc w:val="both"/>
        <w:rPr>
          <w:sz w:val="28"/>
          <w:szCs w:val="28"/>
        </w:rPr>
      </w:pPr>
    </w:p>
    <w:p w:rsidR="002E7401" w:rsidRPr="00397017" w:rsidRDefault="002E7401" w:rsidP="000419A0">
      <w:pPr>
        <w:jc w:val="both"/>
        <w:rPr>
          <w:sz w:val="28"/>
          <w:szCs w:val="28"/>
        </w:rPr>
      </w:pPr>
    </w:p>
    <w:p w:rsidR="00F36A74" w:rsidRDefault="00F36A74" w:rsidP="00F52A35">
      <w:pPr>
        <w:jc w:val="both"/>
        <w:rPr>
          <w:b/>
          <w:sz w:val="28"/>
          <w:szCs w:val="28"/>
        </w:rPr>
      </w:pPr>
      <w:r>
        <w:rPr>
          <w:b/>
          <w:sz w:val="28"/>
          <w:szCs w:val="28"/>
        </w:rPr>
        <w:t>В.о. міського голови</w:t>
      </w:r>
    </w:p>
    <w:p w:rsidR="00F52A35" w:rsidRDefault="00F36A74" w:rsidP="00A84105">
      <w:pPr>
        <w:tabs>
          <w:tab w:val="left" w:pos="7088"/>
        </w:tabs>
        <w:jc w:val="both"/>
        <w:rPr>
          <w:b/>
          <w:sz w:val="28"/>
          <w:szCs w:val="28"/>
        </w:rPr>
      </w:pPr>
      <w:r>
        <w:rPr>
          <w:b/>
          <w:sz w:val="28"/>
          <w:szCs w:val="28"/>
        </w:rPr>
        <w:t xml:space="preserve">з виконавчої роботи   </w:t>
      </w:r>
      <w:r w:rsidR="00F52A35">
        <w:rPr>
          <w:b/>
          <w:sz w:val="28"/>
          <w:szCs w:val="28"/>
        </w:rPr>
        <w:t xml:space="preserve">                              </w:t>
      </w:r>
      <w:r w:rsidR="00E47A77">
        <w:rPr>
          <w:b/>
          <w:sz w:val="28"/>
          <w:szCs w:val="28"/>
        </w:rPr>
        <w:t xml:space="preserve">                          </w:t>
      </w:r>
      <w:r w:rsidR="00F52A35">
        <w:rPr>
          <w:b/>
          <w:sz w:val="28"/>
          <w:szCs w:val="28"/>
        </w:rPr>
        <w:t xml:space="preserve">      </w:t>
      </w:r>
      <w:r>
        <w:rPr>
          <w:b/>
          <w:sz w:val="28"/>
          <w:szCs w:val="28"/>
        </w:rPr>
        <w:t>Римма БИКОВА</w:t>
      </w:r>
    </w:p>
    <w:p w:rsidR="00E632C7" w:rsidRPr="00397017" w:rsidRDefault="00E632C7" w:rsidP="000419A0">
      <w:pPr>
        <w:jc w:val="both"/>
        <w:rPr>
          <w:sz w:val="28"/>
          <w:szCs w:val="28"/>
        </w:rPr>
      </w:pPr>
    </w:p>
    <w:p w:rsidR="000419A0" w:rsidRDefault="000419A0" w:rsidP="000419A0">
      <w:pPr>
        <w:jc w:val="both"/>
        <w:rPr>
          <w:sz w:val="28"/>
          <w:szCs w:val="28"/>
        </w:rPr>
      </w:pPr>
    </w:p>
    <w:p w:rsidR="000419A0" w:rsidRPr="00B030EE" w:rsidRDefault="000419A0" w:rsidP="000419A0">
      <w:pPr>
        <w:pBdr>
          <w:bottom w:val="single" w:sz="12" w:space="1" w:color="auto"/>
        </w:pBdr>
        <w:jc w:val="both"/>
        <w:outlineLvl w:val="0"/>
      </w:pPr>
      <w:proofErr w:type="spellStart"/>
      <w:r w:rsidRPr="00B030EE">
        <w:t>Масік</w:t>
      </w:r>
      <w:proofErr w:type="spellEnd"/>
      <w:r w:rsidRPr="00B030EE">
        <w:t xml:space="preserve"> 78-71-00</w:t>
      </w:r>
    </w:p>
    <w:p w:rsidR="000419A0" w:rsidRPr="00B030EE" w:rsidRDefault="000419A0" w:rsidP="000419A0">
      <w:pPr>
        <w:jc w:val="both"/>
      </w:pPr>
      <w:r w:rsidRPr="00B030EE">
        <w:t>Розіслати: згідно зі списком розсилки.</w:t>
      </w:r>
    </w:p>
    <w:sectPr w:rsidR="000419A0" w:rsidRPr="00B030EE" w:rsidSect="00D84E1E">
      <w:headerReference w:type="default" r:id="rId9"/>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44B" w:rsidRDefault="00222002">
      <w:r>
        <w:separator/>
      </w:r>
    </w:p>
  </w:endnote>
  <w:endnote w:type="continuationSeparator" w:id="0">
    <w:p w:rsidR="00B4444B" w:rsidRDefault="002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44B" w:rsidRDefault="00222002">
      <w:r>
        <w:separator/>
      </w:r>
    </w:p>
  </w:footnote>
  <w:footnote w:type="continuationSeparator" w:id="0">
    <w:p w:rsidR="00B4444B" w:rsidRDefault="0022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7C" w:rsidRDefault="0051500F">
    <w:pPr>
      <w:pStyle w:val="a3"/>
      <w:jc w:val="center"/>
    </w:pPr>
    <w:r>
      <w:fldChar w:fldCharType="begin"/>
    </w:r>
    <w:r>
      <w:instrText xml:space="preserve"> PAGE   \* MERGEFORMAT </w:instrText>
    </w:r>
    <w:r>
      <w:fldChar w:fldCharType="separate"/>
    </w:r>
    <w:r>
      <w:rPr>
        <w:noProof/>
      </w:rPr>
      <w:t>2</w:t>
    </w:r>
    <w:r>
      <w:fldChar w:fldCharType="end"/>
    </w:r>
  </w:p>
  <w:p w:rsidR="0022067C" w:rsidRDefault="003B7A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04090"/>
    <w:multiLevelType w:val="multilevel"/>
    <w:tmpl w:val="2E2E0848"/>
    <w:lvl w:ilvl="0">
      <w:start w:val="1"/>
      <w:numFmt w:val="decimal"/>
      <w:lvlText w:val="%1."/>
      <w:lvlJc w:val="left"/>
      <w:pPr>
        <w:ind w:left="570" w:hanging="57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A0"/>
    <w:rsid w:val="000419A0"/>
    <w:rsid w:val="00043F5B"/>
    <w:rsid w:val="000527EF"/>
    <w:rsid w:val="00142CA0"/>
    <w:rsid w:val="00147E75"/>
    <w:rsid w:val="001B0C03"/>
    <w:rsid w:val="001C7BDD"/>
    <w:rsid w:val="00222002"/>
    <w:rsid w:val="00260A95"/>
    <w:rsid w:val="002E7401"/>
    <w:rsid w:val="00397017"/>
    <w:rsid w:val="00397439"/>
    <w:rsid w:val="003975FE"/>
    <w:rsid w:val="003B7A96"/>
    <w:rsid w:val="004978D7"/>
    <w:rsid w:val="005009C9"/>
    <w:rsid w:val="0051500F"/>
    <w:rsid w:val="005E2233"/>
    <w:rsid w:val="00741998"/>
    <w:rsid w:val="008174C6"/>
    <w:rsid w:val="009D739A"/>
    <w:rsid w:val="00A205E3"/>
    <w:rsid w:val="00A84105"/>
    <w:rsid w:val="00A906E6"/>
    <w:rsid w:val="00AB6713"/>
    <w:rsid w:val="00AF6606"/>
    <w:rsid w:val="00B030EE"/>
    <w:rsid w:val="00B4444B"/>
    <w:rsid w:val="00BF1754"/>
    <w:rsid w:val="00C55C5C"/>
    <w:rsid w:val="00CA1FD5"/>
    <w:rsid w:val="00CA2807"/>
    <w:rsid w:val="00CD3B95"/>
    <w:rsid w:val="00CF797D"/>
    <w:rsid w:val="00D84E1E"/>
    <w:rsid w:val="00DB0EEB"/>
    <w:rsid w:val="00DE3DED"/>
    <w:rsid w:val="00E47A77"/>
    <w:rsid w:val="00E632C7"/>
    <w:rsid w:val="00F1386D"/>
    <w:rsid w:val="00F36A74"/>
    <w:rsid w:val="00F52A35"/>
    <w:rsid w:val="00FA3E91"/>
    <w:rsid w:val="00FB3F22"/>
    <w:rsid w:val="00FD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8890"/>
  <w15:chartTrackingRefBased/>
  <w15:docId w15:val="{AE2318F4-9BF9-4441-9FD8-B9A14D1F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9A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Верхний колонтитул Знак Знак Знак Знак Знак Знак Знак Знак Знак Знак Знак Знак,Верхний колонтитул Знак Знак Знак Знак Знак Знак,Верхний колонтитул Знак Знак Знак Знак"/>
    <w:basedOn w:val="a"/>
    <w:link w:val="a4"/>
    <w:rsid w:val="000419A0"/>
    <w:pPr>
      <w:tabs>
        <w:tab w:val="center" w:pos="4153"/>
        <w:tab w:val="right" w:pos="8306"/>
      </w:tabs>
    </w:pPr>
    <w:rPr>
      <w:sz w:val="20"/>
      <w:szCs w:val="20"/>
      <w:lang w:val="ru-RU" w:eastAsia="ru-RU"/>
    </w:rPr>
  </w:style>
  <w:style w:type="character" w:customStyle="1" w:styleId="a4">
    <w:name w:val="Верхний колонтитул Знак"/>
    <w:aliases w:val="Знак Знак, Знак Знак,Верхний колонтитул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 Знак"/>
    <w:basedOn w:val="a0"/>
    <w:link w:val="a3"/>
    <w:rsid w:val="000419A0"/>
    <w:rPr>
      <w:rFonts w:ascii="Times New Roman" w:eastAsia="Times New Roman" w:hAnsi="Times New Roman" w:cs="Times New Roman"/>
      <w:sz w:val="20"/>
      <w:szCs w:val="20"/>
      <w:lang w:eastAsia="ru-RU"/>
    </w:rPr>
  </w:style>
  <w:style w:type="paragraph" w:customStyle="1" w:styleId="a5">
    <w:name w:val="Знак Знак Знак"/>
    <w:basedOn w:val="a"/>
    <w:rsid w:val="000419A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0469-C9DA-475C-A2B1-7EF4A88A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Валеріївна Ткаченко</dc:creator>
  <cp:keywords/>
  <dc:description/>
  <cp:lastModifiedBy>Юлія Олександрівна Пирогова</cp:lastModifiedBy>
  <cp:revision>10</cp:revision>
  <cp:lastPrinted>2024-10-08T12:26:00Z</cp:lastPrinted>
  <dcterms:created xsi:type="dcterms:W3CDTF">2024-04-10T12:47:00Z</dcterms:created>
  <dcterms:modified xsi:type="dcterms:W3CDTF">2024-10-17T06:15:00Z</dcterms:modified>
</cp:coreProperties>
</file>